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4"/>
          <w:szCs w:val="44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205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Pjv5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beforeLines="0" w:afterLines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黄泽丰、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程银娥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、黄燕霞</w:t>
      </w:r>
    </w:p>
    <w:p>
      <w:pPr>
        <w:widowControl w:val="0"/>
        <w:wordWrap/>
        <w:adjustRightInd w:val="0"/>
        <w:snapToGrid w:val="0"/>
        <w:spacing w:beforeLines="0" w:afterLines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采取出具警示函措施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决定</w:t>
      </w:r>
    </w:p>
    <w:p>
      <w:pPr>
        <w:numPr>
          <w:ilvl w:val="0"/>
          <w:numId w:val="0"/>
        </w:numPr>
        <w:wordWrap/>
        <w:adjustRightInd w:val="0"/>
        <w:snapToGrid w:val="0"/>
        <w:spacing w:beforeLines="0" w:afterLines="0" w:line="240" w:lineRule="auto"/>
        <w:ind w:left="0" w:leftChars="0" w:right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wordWrap/>
        <w:overflowPunct w:val="0"/>
        <w:adjustRightInd w:val="0"/>
        <w:snapToGrid w:val="0"/>
        <w:spacing w:beforeLines="0" w:afterLines="0" w:line="336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黄泽丰、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程银娥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、黄燕霞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：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经查，你们构成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《上市公司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收购管理办法》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（证监会令第166号，下同）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第八十三条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第二款第九项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所规定的一致行动人关系。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2024年10月18日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11月6日期间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你们通过集中竞价交易方式买入广州高澜节能技术股份有限公司（以下简称高澜股份）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1,354.70万股，持有高澜股份股票达到其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总股本的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4.438%后，又于11月7日买入高澜股份股票374.7万股，持有高澜股份股票达到其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总股本的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5.6655%。你们买入高澜股份股票达到其总股本的5%时，未及时向中国证监会、证券交易所提交书面报告，未通知高澜股份，未暂停买入高澜股份股票，上述行为违反了《上市公司收购管理办法》第十三条第一款的规定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《上市公司收购管理办法》第七十五条的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采取出具警示函的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应认真吸取教训，加强证券法律法规学习，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切实规范相关股权变动行为，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依规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履行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信息披露义务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，杜绝此类违规行为再次发生。</w:t>
      </w:r>
    </w:p>
    <w:p>
      <w:pPr>
        <w:widowControl w:val="0"/>
        <w:wordWrap/>
        <w:overflowPunct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如果对本监督管理措施不服，可以在收到本决定书之日起60日内向中国证券监督管理委员会提出行政复议申请,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  <w:bookmarkStart w:id="0" w:name="_GoBack"/>
      <w:bookmarkEnd w:id="0"/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证监会上市司、法治司；深圳证券交易所</w:t>
      </w:r>
      <w:r>
        <w:rPr>
          <w:rFonts w:hint="eastAsia" w:ascii="仿宋_GB2312" w:eastAsia="仿宋_GB2312"/>
          <w:spacing w:val="8"/>
          <w:sz w:val="28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5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p>
      <w:pPr>
        <w:snapToGrid w:val="0"/>
        <w:spacing w:beforeLines="0" w:afterLines="0" w:line="240" w:lineRule="auto"/>
        <w:rPr>
          <w:sz w:val="2"/>
          <w:szCs w:val="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长城仿宋">
    <w:altName w:val="方正仿宋_GBK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14B3"/>
    <w:rsid w:val="5B7B8D61"/>
    <w:rsid w:val="6F7F232C"/>
    <w:rsid w:val="7FEB04D3"/>
    <w:rsid w:val="7FEF14B3"/>
    <w:rsid w:val="B7D3CA6E"/>
    <w:rsid w:val="C6EAC63A"/>
    <w:rsid w:val="F777B7A8"/>
    <w:rsid w:val="FCDF308E"/>
    <w:rsid w:val="FCE85D5C"/>
    <w:rsid w:val="FD5527C7"/>
    <w:rsid w:val="FFA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2024-11-23T02:05:00Z</dcterms:created>
  <dc:creator>张灵军</dc:creator>
  <cp:lastModifiedBy>于晓雷</cp:lastModifiedBy>
  <dcterms:modified xsi:type="dcterms:W3CDTF">2024-12-11T10:24:41Z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F1D6BBA58C85F4D245893E67376B9DE4</vt:lpwstr>
  </property>
</Properties>
</file>