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15"/>
          <w:szCs w:val="15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203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420"/>
        </w:tabs>
        <w:snapToGrid w:val="0"/>
        <w:spacing w:line="300" w:lineRule="auto"/>
        <w:jc w:val="both"/>
        <w:outlineLvl w:val="9"/>
        <w:rPr>
          <w:rFonts w:ascii="仿宋_GB2312" w:hAnsi="Times New Roman" w:eastAsia="仿宋_GB2312" w:cs="Times New Roman"/>
          <w:color w:val="000000"/>
          <w:spacing w:val="12"/>
          <w:kern w:val="2"/>
          <w:sz w:val="21"/>
          <w:szCs w:val="21"/>
          <w:lang w:val="en-US" w:eastAsia="zh-CN" w:bidi="ar-SA"/>
        </w:rPr>
      </w:pPr>
      <w:bookmarkStart w:id="0" w:name="quanwen"/>
    </w:p>
    <w:p>
      <w:pPr>
        <w:pStyle w:val="4"/>
        <w:widowControl/>
        <w:pBdr>
          <w:bottom w:val="none" w:color="auto" w:sz="0" w:space="0"/>
        </w:pBdr>
        <w:adjustRightInd w:val="0"/>
        <w:ind w:firstLine="220" w:firstLineChars="50"/>
        <w:jc w:val="center"/>
        <w:outlineLvl w:val="0"/>
        <w:rPr>
          <w:rFonts w:hint="eastAsia" w:ascii="方正小标宋简体" w:hAnsi="方正小标宋简体" w:eastAsia="方正小标宋简体" w:cs="方正小标宋简体"/>
          <w:kern w:val="21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</w:rPr>
        <w:t>关于对亚太（集团）会计师事务所（特殊普通合伙）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lang w:eastAsia="zh-CN"/>
        </w:rPr>
        <w:t>、孙志军、周铁华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</w:rPr>
        <w:t>采取出具</w:t>
      </w:r>
    </w:p>
    <w:p>
      <w:pPr>
        <w:pStyle w:val="4"/>
        <w:widowControl/>
        <w:pBdr>
          <w:bottom w:val="none" w:color="auto" w:sz="0" w:space="0"/>
        </w:pBdr>
        <w:adjustRightInd w:val="0"/>
        <w:ind w:firstLine="220" w:firstLineChars="50"/>
        <w:jc w:val="center"/>
        <w:outlineLvl w:val="0"/>
        <w:rPr>
          <w:rFonts w:hint="eastAsia" w:ascii="方正小标宋简体" w:hAnsi="方正小标宋简体" w:eastAsia="方正小标宋简体" w:cs="方正小标宋简体"/>
          <w:kern w:val="21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</w:rPr>
        <w:t>警示函措施的决定</w:t>
      </w:r>
    </w:p>
    <w:p>
      <w:pPr>
        <w:pStyle w:val="2"/>
        <w:snapToGrid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overflowPunct w:val="0"/>
        <w:adjustRightInd w:val="0"/>
        <w:snapToGrid w:val="0"/>
        <w:spacing w:beforeLines="0" w:afterLines="0" w:line="336" w:lineRule="auto"/>
        <w:ind w:firstLine="0" w:firstLineChars="0"/>
        <w:rPr>
          <w:rFonts w:hint="eastAsia" w:ascii="仿宋_GB2312" w:hAnsi="仿宋_GB2312" w:eastAsia="仿宋_GB2312" w:cs="Times New Roman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亚太（集团）会计师事务所（特殊普通合伙）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、孙志军、周铁华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：</w:t>
      </w:r>
    </w:p>
    <w:p>
      <w:pPr>
        <w:overflowPunct w:val="0"/>
        <w:adjustRightInd w:val="0"/>
        <w:snapToGrid w:val="0"/>
        <w:spacing w:beforeLines="0" w:afterLines="0" w:line="336" w:lineRule="auto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经查，你所在</w:t>
      </w:r>
      <w:r>
        <w:rPr>
          <w:rFonts w:hint="default" w:ascii="仿宋_GB2312" w:hAnsi="仿宋_GB2312" w:eastAsia="仿宋_GB2312"/>
          <w:color w:val="000000"/>
          <w:kern w:val="0"/>
          <w:sz w:val="32"/>
        </w:rPr>
        <w:t>广宁县汇业资产运营有限公司（以下简称广宁汇业）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2018年至2020年</w:t>
      </w:r>
      <w:r>
        <w:rPr>
          <w:rFonts w:hint="default" w:ascii="仿宋_GB2312" w:hAnsi="仿宋_GB2312" w:eastAsia="仿宋_GB2312"/>
          <w:color w:val="000000"/>
          <w:kern w:val="0"/>
          <w:sz w:val="32"/>
        </w:rPr>
        <w:t>年度财务报表审计项目执业中存在以下问题：</w:t>
      </w:r>
    </w:p>
    <w:p>
      <w:pPr>
        <w:overflowPunct w:val="0"/>
        <w:adjustRightInd w:val="0"/>
        <w:snapToGrid w:val="0"/>
        <w:spacing w:beforeLines="0" w:afterLines="0" w:line="336" w:lineRule="auto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TW"/>
        </w:rPr>
        <w:t>初步业务活动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CN"/>
        </w:rPr>
        <w:t>审计程序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TW"/>
        </w:rPr>
        <w:t>存在缺陷。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val="en-US" w:eastAsia="zh-CN"/>
        </w:rPr>
        <w:t>一是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TW"/>
        </w:rPr>
        <w:t>没有形成与前任注册会计师沟通有关的记录；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val="en-US" w:eastAsia="zh-CN"/>
        </w:rPr>
        <w:t>二是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TW"/>
        </w:rPr>
        <w:t>项目组有关人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TW"/>
        </w:rPr>
        <w:t>员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TW"/>
        </w:rPr>
        <w:t>签署独立性的确认书。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上述情况不符合《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中国注册会计师审计准则第1153号——前任注册会计师和后任注册会计师的沟通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(2010年修订)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、《中国注册会计师职业道德守则第4号——审计和审阅业务对独立性的要求》（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2009年修订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）第二十六条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lang w:eastAsia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TW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CN"/>
        </w:rPr>
        <w:t>、风险评估程序及控制测试存在缺陷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TW"/>
        </w:rPr>
        <w:t>。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val="en-US" w:eastAsia="zh-CN"/>
        </w:rPr>
        <w:t>一是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highlight w:val="none"/>
          <w:lang w:val="en-US" w:eastAsia="zh-CN"/>
        </w:rPr>
        <w:t>风险评估程序执行不到位，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未对相关业务循环执行穿行测试；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未实施控制测试，也未对不实施控制测试进行说明。上述情况不符合《中国注册会计师审计准则第1211号——通过了解被审计单位及其环境识别和评估重大错报风险》（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val="en-US" w:eastAsia="zh-CN"/>
        </w:rPr>
        <w:t>2019年修订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）第九条第二款规定及《中国注册会计师审计准则第1231号——针对评估的重大错报风险采取的应对措施》（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val="en-US" w:eastAsia="zh-CN"/>
        </w:rPr>
        <w:t>2019年修订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第八条的规定。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eastAsia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lang w:eastAsia="zh-TW"/>
        </w:rPr>
        <w:t>三、实质性程序工作底稿存在缺陷。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eastAsia="zh-CN"/>
        </w:rPr>
        <w:t>一是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部分底稿存在索引不清晰，个别底稿记录不完整；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eastAsia="zh-CN"/>
        </w:rPr>
        <w:t>二是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未对应收账款进行期后测试；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eastAsia="zh-CN"/>
        </w:rPr>
        <w:t>三是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未对主营业务收入进行截止性测试；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lang w:eastAsia="zh-CN"/>
        </w:rPr>
        <w:t>四是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lang w:eastAsia="zh-CN"/>
        </w:rPr>
        <w:t>未对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财务费用进行有效核验。上述情况不符合《中国注册会计师审计准则第1</w:t>
      </w:r>
      <w:r>
        <w:rPr>
          <w:rFonts w:hint="default" w:ascii="仿宋_GB2312" w:hAnsi="仿宋_GB2312" w:eastAsia="仿宋_GB2312"/>
          <w:color w:val="000000"/>
          <w:kern w:val="0"/>
          <w:sz w:val="32"/>
          <w:lang w:val="en-US" w:eastAsia="zh-CN"/>
        </w:rPr>
        <w:t>30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1号——审计证据》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val="en-US" w:eastAsia="zh-CN"/>
        </w:rPr>
        <w:t>2016年修订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）第十条、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《中国注册会计师审计准则第1131号——审计工作底稿》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val="en-US" w:eastAsia="zh-CN"/>
        </w:rPr>
        <w:t>2016年修订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）第十条的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规定。</w:t>
      </w:r>
    </w:p>
    <w:p>
      <w:pPr>
        <w:numPr>
          <w:ilvl w:val="0"/>
          <w:numId w:val="0"/>
        </w:numPr>
        <w:overflowPunct w:val="0"/>
        <w:adjustRightInd/>
        <w:snapToGrid w:val="0"/>
        <w:spacing w:beforeLines="-2147483648" w:afterLines="-2147483648"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所的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上述行为不符合《中国注册会计师执业准则》的有关要求，违反了《公司信用类债券信息披露管理办法》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中国人民银行 中华人民共和国国家发展和改革委员会 中国证券监督管理委员会公告〔2020〕第22号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第二十九条、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第三十一条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第三十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条的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lang w:val="en" w:eastAsia="zh-CN"/>
        </w:rPr>
        <w:t>孙志军、周铁华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作为</w:t>
      </w:r>
      <w:r>
        <w:rPr>
          <w:rFonts w:hint="default" w:ascii="仿宋_GB2312" w:hAnsi="仿宋_GB2312" w:eastAsia="仿宋_GB2312"/>
          <w:color w:val="000000"/>
          <w:kern w:val="0"/>
          <w:sz w:val="32"/>
          <w:highlight w:val="none"/>
        </w:rPr>
        <w:t>广宁汇业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val="en-US" w:eastAsia="zh-CN"/>
        </w:rPr>
        <w:t>2018年至2020年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年报审计项目的签字注册会计师，对上述违规行为负有主要责任。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《公司信用类债券信息披露管理办法》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第三十七条的规定，我局决定对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" w:eastAsia="zh-CN"/>
        </w:rPr>
        <w:t>你所及签字注册会计师孙志军、周铁华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采取出具警示函的行政监管措施。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应认真吸取教训，严格遵照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lang w:val="en-US" w:eastAsia="zh-CN"/>
        </w:rPr>
        <w:t>相关法律法规和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《中国注册会计师执业准则》的规定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lang w:val="en-US" w:eastAsia="zh-CN"/>
        </w:rPr>
        <w:t>做好整改工作，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进一步加强内部管理，健全质量控制制度，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lang w:val="en-US" w:eastAsia="zh-CN"/>
        </w:rPr>
        <w:t>对相关责任人进行内部问责，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lang w:val="en-US" w:eastAsia="zh-CN"/>
        </w:rPr>
        <w:t>于收到本决定书30日内向我局报送整改报告、内部问责情况。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如果对本监督管理措施不服，可以在收到本决定书之日起60日内向中国证券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</w:rPr>
        <w:t>监督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管理委员会提出行政复议申请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也可以在收到本决定书之日起6个月内向有管辖权的人民法院提起诉讼。复议与诉讼期间，上述监督管理措施不停止执行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29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 w:ascii="黑体" w:eastAsia="黑体"/>
          <w:spacing w:val="8"/>
          <w:sz w:val="32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pacing w:val="8"/>
          <w:sz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抄送：证监会会计司</w:t>
      </w:r>
      <w:r>
        <w:rPr>
          <w:rFonts w:hint="eastAsia" w:ascii="仿宋_GB2312" w:eastAsia="仿宋_GB2312"/>
          <w:spacing w:val="8"/>
          <w:sz w:val="28"/>
          <w:lang w:eastAsia="zh-CN"/>
        </w:rPr>
        <w:t>、债券司</w:t>
      </w:r>
      <w:r>
        <w:rPr>
          <w:rFonts w:hint="eastAsia" w:ascii="仿宋_GB2312" w:eastAsia="仿宋_GB2312"/>
          <w:spacing w:val="8"/>
          <w:sz w:val="28"/>
        </w:rPr>
        <w:t>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上海证券交易所、深圳证券交易所、北京证券交易所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3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p>
      <w:pPr>
        <w:snapToGrid w:val="0"/>
        <w:spacing w:beforeLines="0" w:afterLines="0"/>
        <w:rPr>
          <w:sz w:val="2"/>
          <w:szCs w:val="2"/>
        </w:rPr>
      </w:pPr>
    </w:p>
    <w:bookmarkEnd w:id="0"/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CDC62B"/>
    <w:rsid w:val="1B5A3748"/>
    <w:rsid w:val="1FD9471D"/>
    <w:rsid w:val="2EDE6679"/>
    <w:rsid w:val="3EDFDDFF"/>
    <w:rsid w:val="3EE59AE7"/>
    <w:rsid w:val="3EFB0FCD"/>
    <w:rsid w:val="3F7FF5CF"/>
    <w:rsid w:val="3FFD3D9B"/>
    <w:rsid w:val="4B9BFA42"/>
    <w:rsid w:val="4D9AB36A"/>
    <w:rsid w:val="5BE80933"/>
    <w:rsid w:val="5EFF933C"/>
    <w:rsid w:val="5F74EDE2"/>
    <w:rsid w:val="5F7F3666"/>
    <w:rsid w:val="5FBCDA3D"/>
    <w:rsid w:val="5FBF6939"/>
    <w:rsid w:val="5FFFFCFA"/>
    <w:rsid w:val="6A373641"/>
    <w:rsid w:val="77D70889"/>
    <w:rsid w:val="77FB2E0C"/>
    <w:rsid w:val="77FC3EA6"/>
    <w:rsid w:val="7B5C462C"/>
    <w:rsid w:val="7BBFBF73"/>
    <w:rsid w:val="7BF91C53"/>
    <w:rsid w:val="7CB7FDBE"/>
    <w:rsid w:val="7EF79F51"/>
    <w:rsid w:val="7F7B1F3F"/>
    <w:rsid w:val="7FEC8019"/>
    <w:rsid w:val="7FEDB43A"/>
    <w:rsid w:val="7FFFBA22"/>
    <w:rsid w:val="86EE134D"/>
    <w:rsid w:val="931D5011"/>
    <w:rsid w:val="9FF5DB01"/>
    <w:rsid w:val="9FFA6B3B"/>
    <w:rsid w:val="AF7D8E3A"/>
    <w:rsid w:val="B0BAE988"/>
    <w:rsid w:val="BEDF5758"/>
    <w:rsid w:val="BEFE8DCB"/>
    <w:rsid w:val="BFF53050"/>
    <w:rsid w:val="BFFBB644"/>
    <w:rsid w:val="C5CDC62B"/>
    <w:rsid w:val="D6F7B2AF"/>
    <w:rsid w:val="DBBDFAC4"/>
    <w:rsid w:val="DFBFE301"/>
    <w:rsid w:val="DFFF8DC2"/>
    <w:rsid w:val="E6FE6462"/>
    <w:rsid w:val="E9DFAAA4"/>
    <w:rsid w:val="ECFCEBF2"/>
    <w:rsid w:val="EDFBA771"/>
    <w:rsid w:val="F7D76E3E"/>
    <w:rsid w:val="FABD71E2"/>
    <w:rsid w:val="FBFE7F54"/>
    <w:rsid w:val="FD693B33"/>
    <w:rsid w:val="FD6DE580"/>
    <w:rsid w:val="FD7EE562"/>
    <w:rsid w:val="FDCFCD40"/>
    <w:rsid w:val="FDFD74C3"/>
    <w:rsid w:val="FF5307DB"/>
    <w:rsid w:val="FF9B4B88"/>
    <w:rsid w:val="FF9C373F"/>
    <w:rsid w:val="FFBFD947"/>
    <w:rsid w:val="FFEBFE49"/>
    <w:rsid w:val="FF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2024-10-02T00:55:00Z</dcterms:created>
  <dc:creator>贺家丰</dc:creator>
  <cp:lastModifiedBy>贺家丰</cp:lastModifiedBy>
  <dcterms:modified xsi:type="dcterms:W3CDTF">2024-12-03T16:05:36Z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36D2CD81BD523974D0BB4E679F0E0428</vt:lpwstr>
  </property>
</Properties>
</file>