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bookmarkStart w:id="2" w:name="_GoBack"/>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202</w:t>
      </w:r>
      <w:r>
        <w:rPr>
          <w:rFonts w:hint="eastAsia" w:ascii="仿宋_GB2312" w:hAnsi="Times New Roman" w:eastAsia="仿宋_GB2312" w:cs="Times New Roman"/>
          <w:color w:val="000000"/>
          <w:spacing w:val="12"/>
          <w:sz w:val="28"/>
        </w:rPr>
        <w:t>号</w:t>
      </w:r>
      <w:bookmarkEnd w:id="2"/>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V8uZ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widowControl w:val="0"/>
        <w:pBdr>
          <w:top w:val="none" w:color="auto" w:sz="0" w:space="1"/>
          <w:left w:val="none" w:color="auto" w:sz="0" w:space="4"/>
          <w:bottom w:val="none" w:color="auto" w:sz="0" w:space="0"/>
          <w:right w:val="none" w:color="auto" w:sz="0" w:space="4"/>
        </w:pBdr>
        <w:tabs>
          <w:tab w:val="left" w:pos="420"/>
        </w:tabs>
        <w:snapToGrid w:val="0"/>
        <w:spacing w:line="300" w:lineRule="auto"/>
        <w:jc w:val="both"/>
        <w:outlineLvl w:val="9"/>
        <w:rPr>
          <w:rFonts w:ascii="仿宋_GB2312" w:hAnsi="Times New Roman" w:eastAsia="仿宋_GB2312" w:cs="Times New Roman"/>
          <w:color w:val="000000"/>
          <w:spacing w:val="12"/>
          <w:kern w:val="2"/>
          <w:sz w:val="22"/>
          <w:szCs w:val="22"/>
          <w:lang w:val="en-US" w:eastAsia="zh-CN" w:bidi="ar-SA"/>
        </w:rPr>
      </w:pPr>
      <w:bookmarkStart w:id="0" w:name="quanwen"/>
    </w:p>
    <w:p>
      <w:pPr>
        <w:adjustRightInd w:val="0"/>
        <w:snapToGrid w:val="0"/>
        <w:jc w:val="center"/>
        <w:rPr>
          <w:rFonts w:hint="eastAsia"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关于</w:t>
      </w:r>
      <w:r>
        <w:rPr>
          <w:rFonts w:hint="eastAsia" w:ascii="方正小标宋简体" w:hAnsi="方正小标宋简体" w:eastAsia="方正小标宋简体"/>
          <w:sz w:val="44"/>
          <w:szCs w:val="44"/>
          <w:highlight w:val="none"/>
          <w:lang w:eastAsia="zh-CN"/>
        </w:rPr>
        <w:t>对</w:t>
      </w:r>
      <w:r>
        <w:rPr>
          <w:rFonts w:hint="eastAsia" w:ascii="方正小标宋简体" w:hAnsi="方正小标宋简体" w:eastAsia="方正小标宋简体"/>
          <w:sz w:val="44"/>
          <w:szCs w:val="44"/>
          <w:highlight w:val="none"/>
          <w:lang w:val="en-US" w:eastAsia="zh-CN"/>
        </w:rPr>
        <w:t>广宁县汇业资产运营有限公司、刘锐、罗文哲</w:t>
      </w:r>
      <w:r>
        <w:rPr>
          <w:rFonts w:hint="eastAsia" w:ascii="方正小标宋简体" w:hAnsi="方正小标宋简体" w:eastAsia="方正小标宋简体"/>
          <w:sz w:val="44"/>
          <w:szCs w:val="44"/>
          <w:highlight w:val="none"/>
        </w:rPr>
        <w:t>采取</w:t>
      </w:r>
      <w:r>
        <w:rPr>
          <w:rFonts w:hint="eastAsia" w:ascii="方正小标宋简体" w:hAnsi="方正小标宋简体" w:eastAsia="方正小标宋简体"/>
          <w:sz w:val="44"/>
          <w:szCs w:val="44"/>
          <w:highlight w:val="none"/>
          <w:lang w:eastAsia="zh-CN"/>
        </w:rPr>
        <w:t>出具警示函</w:t>
      </w:r>
      <w:r>
        <w:rPr>
          <w:rFonts w:hint="eastAsia" w:ascii="方正小标宋简体" w:hAnsi="方正小标宋简体" w:eastAsia="方正小标宋简体"/>
          <w:sz w:val="44"/>
          <w:szCs w:val="44"/>
          <w:highlight w:val="none"/>
        </w:rPr>
        <w:t>措施的决定</w:t>
      </w:r>
    </w:p>
    <w:p>
      <w:pPr>
        <w:adjustRightInd w:val="0"/>
        <w:snapToGrid w:val="0"/>
        <w:jc w:val="center"/>
        <w:rPr>
          <w:rFonts w:hint="eastAsia" w:ascii="方正小标宋简体" w:hAnsi="方正小标宋简体" w:eastAsia="方正小标宋简体"/>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0" w:firstLineChars="0"/>
        <w:jc w:val="left"/>
        <w:textAlignment w:val="auto"/>
        <w:outlineLvl w:val="9"/>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spacing w:val="0"/>
          <w:kern w:val="0"/>
          <w:sz w:val="32"/>
          <w:highlight w:val="none"/>
          <w:lang w:val="en-US" w:eastAsia="zh-CN"/>
        </w:rPr>
        <w:t>广宁县汇业资产运营有限公司</w:t>
      </w:r>
      <w:r>
        <w:rPr>
          <w:rFonts w:hint="eastAsia" w:ascii="仿宋_GB2312" w:hAnsi="仿宋_GB2312" w:eastAsia="仿宋_GB2312"/>
          <w:spacing w:val="0"/>
          <w:kern w:val="0"/>
          <w:sz w:val="32"/>
          <w:highlight w:val="none"/>
          <w:lang w:val="en-US" w:eastAsia="zh-CN"/>
        </w:rPr>
        <w:t>、刘锐、罗文哲</w:t>
      </w:r>
      <w:r>
        <w:rPr>
          <w:rFonts w:hint="eastAsia" w:ascii="仿宋_GB2312" w:hAnsi="仿宋_GB2312" w:eastAsia="仿宋_GB2312"/>
          <w:spacing w:val="0"/>
          <w:kern w:val="0"/>
          <w:sz w:val="32"/>
          <w:highlight w:val="none"/>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0" w:firstLineChars="0"/>
        <w:jc w:val="left"/>
        <w:textAlignment w:val="auto"/>
        <w:outlineLvl w:val="9"/>
        <w:rPr>
          <w:rFonts w:hint="eastAsia" w:ascii="仿宋_GB2312" w:hAnsi="仿宋_GB2312" w:eastAsia="仿宋_GB2312" w:cs="Times New Roman"/>
          <w:kern w:val="0"/>
          <w:sz w:val="32"/>
          <w:szCs w:val="20"/>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经查，</w:t>
      </w:r>
      <w:r>
        <w:rPr>
          <w:rFonts w:hint="default" w:ascii="仿宋_GB2312" w:hAnsi="仿宋_GB2312" w:eastAsia="仿宋_GB2312"/>
          <w:spacing w:val="0"/>
          <w:kern w:val="0"/>
          <w:sz w:val="32"/>
          <w:highlight w:val="none"/>
          <w:lang w:val="en-US" w:eastAsia="zh-CN"/>
        </w:rPr>
        <w:t>广宁县汇业资产运营有限公司</w:t>
      </w:r>
      <w:r>
        <w:rPr>
          <w:rFonts w:hint="eastAsia" w:ascii="仿宋_GB2312" w:hAnsi="仿宋_GB2312" w:eastAsia="仿宋_GB2312" w:cs="仿宋_GB2312"/>
          <w:kern w:val="0"/>
          <w:sz w:val="32"/>
          <w:szCs w:val="32"/>
          <w:highlight w:val="none"/>
          <w:lang w:eastAsia="zh-CN"/>
        </w:rPr>
        <w:t>（以下简称</w:t>
      </w:r>
      <w:r>
        <w:rPr>
          <w:rFonts w:hint="default" w:ascii="仿宋_GB2312" w:hAnsi="仿宋_GB2312" w:eastAsia="仿宋_GB2312"/>
          <w:spacing w:val="0"/>
          <w:kern w:val="0"/>
          <w:sz w:val="32"/>
          <w:highlight w:val="none"/>
          <w:lang w:val="en-US" w:eastAsia="zh-CN"/>
        </w:rPr>
        <w:t>广宁汇业</w:t>
      </w:r>
      <w:r>
        <w:rPr>
          <w:rFonts w:hint="eastAsia" w:ascii="仿宋_GB2312" w:hAnsi="仿宋_GB2312" w:eastAsia="仿宋_GB2312"/>
          <w:spacing w:val="0"/>
          <w:kern w:val="0"/>
          <w:sz w:val="32"/>
          <w:highlight w:val="none"/>
          <w:lang w:val="en-US" w:eastAsia="zh-CN"/>
        </w:rPr>
        <w:t>或公司</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Times New Roman"/>
          <w:kern w:val="0"/>
          <w:sz w:val="32"/>
          <w:szCs w:val="20"/>
          <w:highlight w:val="none"/>
          <w:lang w:val="en-US" w:eastAsia="zh-CN"/>
        </w:rPr>
        <w:t>作为企业债券</w:t>
      </w:r>
      <w:r>
        <w:rPr>
          <w:rFonts w:hint="eastAsia" w:ascii="仿宋_GB2312" w:hAnsi="仿宋_GB2312" w:eastAsia="仿宋_GB2312"/>
          <w:spacing w:val="0"/>
          <w:kern w:val="0"/>
          <w:sz w:val="32"/>
          <w:highlight w:val="none"/>
          <w:lang w:val="en-US" w:eastAsia="zh-CN"/>
        </w:rPr>
        <w:t>“21广宁债01”</w:t>
      </w:r>
      <w:r>
        <w:rPr>
          <w:rFonts w:hint="eastAsia" w:ascii="仿宋_GB2312" w:hAnsi="仿宋_GB2312" w:eastAsia="仿宋_GB2312" w:cs="Times New Roman"/>
          <w:kern w:val="0"/>
          <w:sz w:val="32"/>
          <w:szCs w:val="20"/>
          <w:highlight w:val="none"/>
          <w:lang w:val="en-US" w:eastAsia="zh-CN"/>
        </w:rPr>
        <w:t>发行人，存在以下违规事实：</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0" w:firstLineChars="0"/>
        <w:jc w:val="left"/>
        <w:textAlignment w:val="auto"/>
        <w:outlineLvl w:val="9"/>
        <w:rPr>
          <w:rFonts w:hint="eastAsia" w:ascii="仿宋_GB2312" w:hAnsi="仿宋_GB2312" w:eastAsia="仿宋_GB2312"/>
          <w:spacing w:val="0"/>
          <w:kern w:val="0"/>
          <w:sz w:val="32"/>
          <w:highlight w:val="none"/>
          <w:lang w:val="en-US" w:eastAsia="zh-CN"/>
        </w:rPr>
      </w:pPr>
      <w:r>
        <w:rPr>
          <w:rFonts w:hint="eastAsia" w:ascii="仿宋_GB2312" w:hAnsi="仿宋_GB2312" w:eastAsia="仿宋_GB2312" w:cs="Times New Roman"/>
          <w:kern w:val="0"/>
          <w:sz w:val="32"/>
          <w:szCs w:val="20"/>
          <w:highlight w:val="none"/>
          <w:lang w:val="en-US" w:eastAsia="zh-CN"/>
        </w:rPr>
        <w:t xml:space="preserve">    </w:t>
      </w:r>
      <w:r>
        <w:rPr>
          <w:rFonts w:hint="eastAsia" w:ascii="黑体" w:hAnsi="黑体" w:eastAsia="黑体" w:cs="黑体"/>
          <w:kern w:val="0"/>
          <w:sz w:val="32"/>
          <w:szCs w:val="20"/>
          <w:highlight w:val="none"/>
          <w:lang w:val="en-US" w:eastAsia="zh-CN"/>
        </w:rPr>
        <w:t>一是公开发行文件存在虚假内容。</w:t>
      </w:r>
      <w:r>
        <w:rPr>
          <w:rFonts w:hint="default" w:ascii="仿宋_GB2312" w:hAnsi="仿宋_GB2312" w:eastAsia="仿宋_GB2312"/>
          <w:spacing w:val="0"/>
          <w:kern w:val="0"/>
          <w:sz w:val="32"/>
          <w:highlight w:val="none"/>
          <w:lang w:val="en-US" w:eastAsia="zh-CN"/>
        </w:rPr>
        <w:t>广宁汇业</w:t>
      </w:r>
      <w:r>
        <w:rPr>
          <w:rFonts w:hint="eastAsia" w:ascii="仿宋_GB2312" w:hAnsi="仿宋_GB2312" w:eastAsia="仿宋_GB2312"/>
          <w:spacing w:val="0"/>
          <w:kern w:val="0"/>
          <w:sz w:val="32"/>
          <w:highlight w:val="none"/>
          <w:lang w:val="en-US" w:eastAsia="zh-CN"/>
        </w:rPr>
        <w:t>于2021年6月公开发行企业债“21广宁债01”。公司</w:t>
      </w:r>
      <w:r>
        <w:rPr>
          <w:rFonts w:hint="eastAsia" w:ascii="仿宋_GB2312" w:hAnsi="仿宋_GB2312" w:eastAsia="仿宋_GB2312" w:cs="Times New Roman"/>
          <w:kern w:val="0"/>
          <w:sz w:val="32"/>
          <w:szCs w:val="20"/>
          <w:highlight w:val="none"/>
          <w:lang w:val="en-US" w:eastAsia="zh-CN"/>
        </w:rPr>
        <w:t>通过</w:t>
      </w:r>
      <w:r>
        <w:rPr>
          <w:rFonts w:hint="eastAsia" w:ascii="仿宋_GB2312" w:hAnsi="仿宋_GB2312" w:eastAsia="仿宋_GB2312"/>
          <w:spacing w:val="0"/>
          <w:kern w:val="0"/>
          <w:sz w:val="32"/>
          <w:highlight w:val="none"/>
          <w:lang w:val="en-US" w:eastAsia="zh-CN"/>
        </w:rPr>
        <w:t>将未达到控制的相关公司纳入合并报表、虚构代建业务等方式虚增收入、利润，导致</w:t>
      </w:r>
      <w:r>
        <w:rPr>
          <w:rFonts w:hint="eastAsia" w:ascii="仿宋_GB2312" w:hAnsi="仿宋_GB2312" w:eastAsia="仿宋_GB2312" w:cs="仿宋_GB2312"/>
          <w:b w:val="0"/>
          <w:bCs w:val="0"/>
          <w:sz w:val="32"/>
          <w:szCs w:val="32"/>
          <w:highlight w:val="none"/>
          <w:lang w:val="en-US" w:eastAsia="zh-CN"/>
        </w:rPr>
        <w:t>《2021年第一期广宁县汇业资产运营有限公司公司债券（品种一）募集说明书》</w:t>
      </w:r>
      <w:r>
        <w:rPr>
          <w:rFonts w:hint="eastAsia" w:ascii="仿宋_GB2312" w:hAnsi="仿宋_GB2312" w:eastAsia="仿宋_GB2312"/>
          <w:spacing w:val="0"/>
          <w:kern w:val="0"/>
          <w:sz w:val="32"/>
          <w:highlight w:val="none"/>
          <w:lang w:val="en-US" w:eastAsia="zh-CN"/>
        </w:rPr>
        <w:t>存在虚假内容。</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0" w:firstLineChars="0"/>
        <w:jc w:val="left"/>
        <w:textAlignment w:val="auto"/>
        <w:outlineLvl w:val="9"/>
        <w:rPr>
          <w:rFonts w:hint="eastAsia" w:ascii="仿宋_GB2312" w:hAnsi="仿宋_GB2312" w:eastAsia="仿宋_GB2312"/>
          <w:spacing w:val="0"/>
          <w:kern w:val="0"/>
          <w:sz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黑体" w:hAnsi="黑体" w:eastAsia="黑体" w:cs="黑体"/>
          <w:b w:val="0"/>
          <w:bCs w:val="0"/>
          <w:sz w:val="32"/>
          <w:szCs w:val="32"/>
          <w:highlight w:val="none"/>
          <w:lang w:val="en-US" w:eastAsia="zh-CN"/>
        </w:rPr>
        <w:t>二是募集资金使用及信息披露不合规。</w:t>
      </w:r>
      <w:r>
        <w:rPr>
          <w:rFonts w:hint="eastAsia" w:ascii="仿宋_GB2312" w:hAnsi="仿宋_GB2312" w:eastAsia="仿宋_GB2312" w:cs="仿宋_GB2312"/>
          <w:b w:val="0"/>
          <w:bCs w:val="0"/>
          <w:sz w:val="32"/>
          <w:szCs w:val="32"/>
          <w:highlight w:val="none"/>
          <w:lang w:val="en-US" w:eastAsia="zh-CN"/>
        </w:rPr>
        <w:t>广宁汇业未按照债券发行时批准的用途使用</w:t>
      </w:r>
      <w:r>
        <w:rPr>
          <w:rFonts w:hint="eastAsia" w:ascii="仿宋_GB2312" w:hAnsi="仿宋_GB2312" w:eastAsia="仿宋_GB2312"/>
          <w:spacing w:val="0"/>
          <w:kern w:val="0"/>
          <w:sz w:val="32"/>
          <w:highlight w:val="none"/>
          <w:lang w:val="en-US" w:eastAsia="zh-CN"/>
        </w:rPr>
        <w:t>“21广宁债01”债券募集资金共计</w:t>
      </w:r>
      <w:r>
        <w:rPr>
          <w:rFonts w:hint="eastAsia" w:ascii="仿宋_GB2312" w:hAnsi="仿宋_GB2312" w:eastAsia="仿宋_GB2312" w:cs="仿宋_GB2312"/>
          <w:color w:val="000000" w:themeColor="text1"/>
          <w:sz w:val="32"/>
          <w:szCs w:val="32"/>
          <w:highlight w:val="none"/>
          <w14:textFill>
            <w14:solidFill>
              <w14:schemeClr w14:val="tx1"/>
            </w14:solidFill>
          </w14:textFill>
        </w:rPr>
        <w:t>7065.6</w:t>
      </w:r>
      <w:r>
        <w:rPr>
          <w:rFonts w:hint="eastAsia" w:ascii="仿宋_GB2312" w:hAnsi="仿宋_GB2312" w:eastAsia="仿宋_GB2312"/>
          <w:spacing w:val="0"/>
          <w:kern w:val="0"/>
          <w:sz w:val="32"/>
          <w:highlight w:val="none"/>
          <w:lang w:val="en-US" w:eastAsia="zh-CN"/>
        </w:rPr>
        <w:t>万元，也未按</w:t>
      </w:r>
      <w:r>
        <w:rPr>
          <w:rFonts w:hint="eastAsia" w:ascii="仿宋_GB2312" w:hAnsi="仿宋_GB2312" w:eastAsia="仿宋_GB2312" w:cs="仿宋_GB2312"/>
          <w:b w:val="0"/>
          <w:bCs w:val="0"/>
          <w:sz w:val="32"/>
          <w:szCs w:val="32"/>
          <w:highlight w:val="none"/>
          <w:lang w:val="en-US" w:eastAsia="zh-CN"/>
        </w:rPr>
        <w:t>规定和约定履行必要的程序变更募集资金用途；未按规定在定期报告披露募投项目完工进度及运营效益不达预期等重大事项。</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0" w:firstLineChars="0"/>
        <w:jc w:val="left"/>
        <w:textAlignment w:val="auto"/>
        <w:outlineLvl w:val="9"/>
        <w:rPr>
          <w:rFonts w:hint="eastAsia" w:ascii="仿宋_GB2312" w:hAnsi="仿宋_GB2312" w:eastAsia="仿宋_GB2312"/>
          <w:spacing w:val="0"/>
          <w:kern w:val="0"/>
          <w:sz w:val="32"/>
          <w:highlight w:val="none"/>
          <w:lang w:val="en-US" w:eastAsia="zh-CN"/>
        </w:rPr>
      </w:pPr>
      <w:r>
        <w:rPr>
          <w:rFonts w:hint="eastAsia" w:ascii="仿宋_GB2312" w:hAnsi="仿宋_GB2312" w:eastAsia="仿宋_GB2312"/>
          <w:spacing w:val="0"/>
          <w:kern w:val="0"/>
          <w:sz w:val="32"/>
          <w:highlight w:val="none"/>
          <w:lang w:val="en-US" w:eastAsia="zh-CN"/>
        </w:rPr>
        <w:t xml:space="preserve">   </w:t>
      </w:r>
      <w:r>
        <w:rPr>
          <w:rFonts w:hint="eastAsia" w:ascii="黑体" w:hAnsi="黑体" w:eastAsia="黑体" w:cs="黑体"/>
          <w:spacing w:val="0"/>
          <w:kern w:val="0"/>
          <w:sz w:val="32"/>
          <w:highlight w:val="none"/>
          <w:lang w:val="en-US" w:eastAsia="zh-CN"/>
        </w:rPr>
        <w:t xml:space="preserve"> 三是信息披露不及时。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广宁汇业</w:t>
      </w:r>
      <w:r>
        <w:rPr>
          <w:rFonts w:hint="eastAsia" w:ascii="仿宋_GB2312" w:hAnsi="仿宋_GB2312" w:eastAsia="仿宋_GB2312" w:cs="仿宋_GB2312"/>
          <w:color w:val="000000" w:themeColor="text1"/>
          <w:sz w:val="32"/>
          <w:szCs w:val="32"/>
          <w:highlight w:val="none"/>
          <w14:textFill>
            <w14:solidFill>
              <w14:schemeClr w14:val="tx1"/>
            </w14:solidFill>
          </w14:textFill>
        </w:rPr>
        <w:t>未及时披露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公司三分之一以上董事、董事长、总经理变动</w:t>
      </w:r>
      <w:r>
        <w:rPr>
          <w:rFonts w:hint="eastAsia" w:ascii="仿宋_GB2312" w:hAnsi="仿宋_GB2312" w:eastAsia="仿宋_GB2312" w:cs="仿宋_GB2312"/>
          <w:color w:val="000000" w:themeColor="text1"/>
          <w:sz w:val="32"/>
          <w:szCs w:val="32"/>
          <w:highlight w:val="none"/>
          <w14:textFill>
            <w14:solidFill>
              <w14:schemeClr w14:val="tx1"/>
            </w14:solidFill>
          </w14:textFill>
        </w:rPr>
        <w:t>事项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overflowPunct w:val="0"/>
        <w:adjustRightInd w:val="0"/>
        <w:snapToGrid w:val="0"/>
        <w:spacing w:beforeLines="0" w:afterLines="0" w:line="336" w:lineRule="auto"/>
        <w:ind w:firstLine="0" w:firstLineChars="0"/>
        <w:jc w:val="left"/>
        <w:outlineLvl w:val="9"/>
        <w:rPr>
          <w:rFonts w:hint="eastAsia" w:ascii="仿宋_GB2312" w:hAnsi="仿宋_GB2312" w:eastAsia="仿宋_GB2312" w:cs="仿宋_GB2312"/>
          <w:b w:val="0"/>
          <w:bCs w:val="0"/>
          <w:color w:val="000000"/>
          <w:kern w:val="2"/>
          <w:sz w:val="32"/>
          <w:szCs w:val="32"/>
          <w:highlight w:val="none"/>
          <w:lang w:eastAsia="zh-CN"/>
        </w:rPr>
      </w:pPr>
      <w:r>
        <w:rPr>
          <w:rFonts w:hint="eastAsia" w:ascii="仿宋_GB2312" w:hAnsi="仿宋_GB2312" w:eastAsia="仿宋_GB2312"/>
          <w:spacing w:val="0"/>
          <w:kern w:val="0"/>
          <w:sz w:val="32"/>
          <w:highlight w:val="none"/>
          <w:lang w:val="en-US" w:eastAsia="zh-CN"/>
        </w:rPr>
        <w:t xml:space="preserve">    广宁汇业上述行为违反了</w:t>
      </w:r>
      <w:r>
        <w:rPr>
          <w:rFonts w:hint="eastAsia" w:ascii="仿宋_GB2312" w:hAnsi="仿宋_GB2312" w:eastAsia="仿宋_GB2312" w:cs="仿宋_GB2312"/>
          <w:b w:val="0"/>
          <w:bCs w:val="0"/>
          <w:sz w:val="32"/>
          <w:szCs w:val="32"/>
          <w:highlight w:val="none"/>
          <w:lang w:val="en-US" w:eastAsia="zh-CN"/>
        </w:rPr>
        <w:t>《企业债券管理条例》（国务院令第588号）第十二条第四项、第二十条第一款、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《公司债券发行与交易管理办法》（证监会令第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222号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五十二条</w:t>
      </w:r>
      <w:r>
        <w:rPr>
          <w:rFonts w:hint="eastAsia" w:ascii="仿宋_GB2312" w:hAnsi="仿宋_GB2312" w:eastAsia="仿宋_GB2312" w:cs="仿宋_GB2312"/>
          <w:b w:val="0"/>
          <w:bCs w:val="0"/>
          <w:sz w:val="32"/>
          <w:szCs w:val="32"/>
          <w:highlight w:val="none"/>
          <w:lang w:val="en-US" w:eastAsia="zh-CN"/>
        </w:rPr>
        <w:t>以及</w:t>
      </w:r>
      <w:r>
        <w:rPr>
          <w:rFonts w:hint="eastAsia" w:ascii="仿宋_GB2312" w:hAnsi="仿宋_GB2312" w:eastAsia="仿宋_GB2312" w:cs="仿宋_GB2312"/>
          <w:kern w:val="2"/>
          <w:sz w:val="32"/>
          <w:szCs w:val="32"/>
          <w:highlight w:val="none"/>
          <w:lang w:val="en-US" w:eastAsia="zh-CN" w:bidi="ar-SA"/>
        </w:rPr>
        <w:t>《公司信用类债券信息披露管理办法》（中国人民银行 中华人民共和国国家发展和改革委员会 中国证券监督管理委员会公告〔2020〕第22号，下同）第五条第一款、</w:t>
      </w:r>
      <w:r>
        <w:rPr>
          <w:rFonts w:hint="eastAsia" w:ascii="仿宋_GB2312" w:hAnsi="仿宋_GB2312" w:eastAsia="仿宋_GB2312" w:cs="仿宋_GB2312"/>
          <w:b w:val="0"/>
          <w:bCs w:val="0"/>
          <w:sz w:val="32"/>
          <w:szCs w:val="32"/>
          <w:highlight w:val="none"/>
          <w:lang w:val="en-US" w:eastAsia="zh-CN"/>
        </w:rPr>
        <w:t>第十一条第二款、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第十八条</w:t>
      </w:r>
      <w:r>
        <w:rPr>
          <w:rFonts w:hint="eastAsia" w:ascii="仿宋_GB2312" w:hAnsi="仿宋_GB2312" w:eastAsia="仿宋_GB2312" w:cs="仿宋_GB2312"/>
          <w:sz w:val="32"/>
          <w:szCs w:val="32"/>
          <w:highlight w:val="none"/>
          <w:lang w:eastAsia="zh-CN"/>
        </w:rPr>
        <w:t>第一款、第二款</w:t>
      </w:r>
      <w:r>
        <w:rPr>
          <w:rFonts w:hint="eastAsia" w:ascii="仿宋_GB2312" w:hAnsi="仿宋_GB2312" w:eastAsia="仿宋_GB2312" w:cs="仿宋_GB2312"/>
          <w:sz w:val="32"/>
          <w:szCs w:val="32"/>
          <w:highlight w:val="none"/>
          <w:lang w:val="en-US" w:eastAsia="zh-CN"/>
        </w:rPr>
        <w:t>第三项</w:t>
      </w:r>
      <w:r>
        <w:rPr>
          <w:rFonts w:hint="eastAsia" w:ascii="仿宋_GB2312" w:hAnsi="仿宋_GB2312" w:eastAsia="仿宋_GB2312" w:cs="仿宋_GB2312"/>
          <w:kern w:val="2"/>
          <w:sz w:val="32"/>
          <w:szCs w:val="32"/>
          <w:highlight w:val="none"/>
          <w:lang w:val="en-US" w:eastAsia="zh-CN" w:bidi="ar-SA"/>
        </w:rPr>
        <w:t>的规定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kern w:val="2"/>
          <w:sz w:val="32"/>
          <w:szCs w:val="32"/>
          <w:highlight w:val="none"/>
          <w:lang w:eastAsia="zh-CN"/>
        </w:rPr>
        <w:t>公司时任</w:t>
      </w:r>
      <w:r>
        <w:rPr>
          <w:rFonts w:hint="eastAsia" w:ascii="仿宋_GB2312" w:hAnsi="仿宋_GB2312" w:eastAsia="仿宋_GB2312" w:cs="仿宋_GB2312"/>
          <w:b w:val="0"/>
          <w:bCs w:val="0"/>
          <w:color w:val="000000"/>
          <w:kern w:val="2"/>
          <w:sz w:val="32"/>
          <w:szCs w:val="32"/>
          <w:highlight w:val="none"/>
          <w:lang w:val="en-US" w:eastAsia="zh-CN"/>
        </w:rPr>
        <w:t>董事长兼总经理刘锐</w:t>
      </w:r>
      <w:r>
        <w:rPr>
          <w:rFonts w:hint="eastAsia" w:ascii="仿宋_GB2312" w:hAnsi="仿宋_GB2312" w:eastAsia="仿宋_GB2312" w:cs="仿宋_GB2312"/>
          <w:color w:val="000000"/>
          <w:kern w:val="2"/>
          <w:sz w:val="32"/>
          <w:szCs w:val="32"/>
          <w:highlight w:val="none"/>
          <w:lang w:eastAsia="zh-CN"/>
        </w:rPr>
        <w:t>、信息披露义务人及财务负责人罗文哲</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lang w:eastAsia="zh-CN"/>
        </w:rPr>
        <w:t>未按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《公司债券发行与交易管理办法》（证监会令第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222号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五十三条第三款、</w:t>
      </w:r>
      <w:r>
        <w:rPr>
          <w:rFonts w:hint="eastAsia" w:ascii="仿宋_GB2312" w:hAnsi="仿宋_GB2312" w:eastAsia="仿宋_GB2312" w:cs="仿宋_GB2312"/>
          <w:b w:val="0"/>
          <w:bCs w:val="0"/>
          <w:color w:val="000000"/>
          <w:kern w:val="2"/>
          <w:sz w:val="32"/>
          <w:szCs w:val="32"/>
          <w:highlight w:val="none"/>
          <w:lang w:eastAsia="zh-CN"/>
        </w:rPr>
        <w:t>《公司信用类债券信息披露管理办法》第七条第一款的规定保证公司履行信息披露义务，对上述有关事项负有主要责任。</w:t>
      </w:r>
    </w:p>
    <w:p>
      <w:pPr>
        <w:overflowPunct w:val="0"/>
        <w:adjustRightInd w:val="0"/>
        <w:snapToGrid w:val="0"/>
        <w:spacing w:beforeLines="0" w:afterLines="0" w:line="336" w:lineRule="auto"/>
        <w:ind w:firstLine="640" w:firstLineChars="200"/>
        <w:outlineLvl w:val="9"/>
        <w:rPr>
          <w:rFonts w:hint="eastAsia" w:ascii="仿宋_GB2312" w:hAnsi="仿宋_GB2312" w:eastAsia="仿宋_GB2312" w:cs="仿宋_GB2312"/>
          <w:color w:val="000000"/>
          <w:kern w:val="2"/>
          <w:sz w:val="32"/>
          <w:szCs w:val="32"/>
          <w:highlight w:val="none"/>
          <w:lang w:eastAsia="zh-CN"/>
        </w:rPr>
      </w:pPr>
      <w:r>
        <w:rPr>
          <w:rFonts w:hint="eastAsia" w:ascii="仿宋_GB2312" w:hAnsi="仿宋_GB2312" w:eastAsia="仿宋_GB2312" w:cs="仿宋_GB2312"/>
          <w:spacing w:val="0"/>
          <w:kern w:val="2"/>
          <w:sz w:val="32"/>
          <w:szCs w:val="32"/>
          <w:highlight w:val="none"/>
          <w:lang w:eastAsia="zh-CN"/>
        </w:rPr>
        <w:t>广宁汇业已于</w:t>
      </w:r>
      <w:r>
        <w:rPr>
          <w:rFonts w:hint="eastAsia" w:ascii="仿宋_GB2312" w:hAnsi="仿宋_GB2312" w:eastAsia="仿宋_GB2312" w:cs="仿宋_GB2312"/>
          <w:spacing w:val="0"/>
          <w:kern w:val="2"/>
          <w:sz w:val="32"/>
          <w:szCs w:val="32"/>
          <w:highlight w:val="none"/>
          <w:lang w:val="en-US" w:eastAsia="zh-CN"/>
        </w:rPr>
        <w:t>2024年8月完成</w:t>
      </w:r>
      <w:r>
        <w:rPr>
          <w:rFonts w:hint="eastAsia" w:ascii="仿宋_GB2312" w:hAnsi="仿宋_GB2312" w:eastAsia="仿宋_GB2312"/>
          <w:spacing w:val="0"/>
          <w:kern w:val="0"/>
          <w:sz w:val="32"/>
          <w:highlight w:val="none"/>
          <w:lang w:val="en-US" w:eastAsia="zh-CN"/>
        </w:rPr>
        <w:t>“21广宁债01”债券兑付，未造成重大危害后果。</w:t>
      </w:r>
      <w:r>
        <w:rPr>
          <w:rFonts w:hint="eastAsia" w:ascii="仿宋_GB2312" w:hAnsi="仿宋_GB2312" w:eastAsia="仿宋_GB2312" w:cs="仿宋_GB2312"/>
          <w:spacing w:val="0"/>
          <w:kern w:val="2"/>
          <w:sz w:val="32"/>
          <w:szCs w:val="32"/>
          <w:highlight w:val="none"/>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《公司债券发行与交易管理办法》（证监会令第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222号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六十九条、</w:t>
      </w:r>
      <w:r>
        <w:rPr>
          <w:rFonts w:hint="eastAsia" w:ascii="仿宋_GB2312" w:hAnsi="仿宋_GB2312" w:eastAsia="仿宋_GB2312" w:cs="仿宋_GB2312"/>
          <w:b w:val="0"/>
          <w:bCs w:val="0"/>
          <w:color w:val="000000"/>
          <w:kern w:val="2"/>
          <w:sz w:val="32"/>
          <w:szCs w:val="32"/>
          <w:highlight w:val="none"/>
          <w:lang w:eastAsia="zh-CN"/>
        </w:rPr>
        <w:t>《公司信用类债券信息披露管理办法》</w:t>
      </w:r>
      <w:r>
        <w:rPr>
          <w:rFonts w:hint="eastAsia" w:ascii="仿宋_GB2312" w:hAnsi="仿宋_GB2312" w:eastAsia="仿宋_GB2312" w:cs="仿宋_GB2312"/>
          <w:b w:val="0"/>
          <w:bCs w:val="0"/>
          <w:spacing w:val="0"/>
          <w:kern w:val="2"/>
          <w:sz w:val="32"/>
          <w:szCs w:val="32"/>
          <w:highlight w:val="none"/>
        </w:rPr>
        <w:t>第</w:t>
      </w:r>
      <w:r>
        <w:rPr>
          <w:rFonts w:hint="eastAsia" w:ascii="仿宋_GB2312" w:hAnsi="仿宋_GB2312" w:eastAsia="仿宋_GB2312" w:cs="仿宋_GB2312"/>
          <w:b w:val="0"/>
          <w:bCs w:val="0"/>
          <w:spacing w:val="0"/>
          <w:kern w:val="2"/>
          <w:sz w:val="32"/>
          <w:szCs w:val="32"/>
          <w:highlight w:val="none"/>
          <w:lang w:eastAsia="zh-CN"/>
        </w:rPr>
        <w:t>三十七条</w:t>
      </w:r>
      <w:r>
        <w:rPr>
          <w:rFonts w:hint="eastAsia" w:ascii="仿宋_GB2312" w:hAnsi="仿宋_GB2312" w:eastAsia="仿宋_GB2312" w:cs="仿宋_GB2312"/>
          <w:spacing w:val="0"/>
          <w:kern w:val="2"/>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有关</w:t>
      </w:r>
      <w:r>
        <w:rPr>
          <w:rFonts w:hint="eastAsia" w:ascii="仿宋_GB2312" w:hAnsi="仿宋_GB2312" w:eastAsia="仿宋_GB2312" w:cs="仿宋_GB2312"/>
          <w:spacing w:val="0"/>
          <w:kern w:val="2"/>
          <w:sz w:val="32"/>
          <w:szCs w:val="32"/>
          <w:highlight w:val="none"/>
        </w:rPr>
        <w:t>规定，我局</w:t>
      </w:r>
      <w:r>
        <w:rPr>
          <w:rFonts w:hint="eastAsia" w:ascii="仿宋_GB2312" w:hAnsi="仿宋_GB2312" w:eastAsia="仿宋_GB2312" w:cs="仿宋_GB2312"/>
          <w:spacing w:val="0"/>
          <w:kern w:val="2"/>
          <w:sz w:val="32"/>
          <w:szCs w:val="32"/>
          <w:highlight w:val="none"/>
          <w:lang w:eastAsia="zh-CN"/>
        </w:rPr>
        <w:t>决定</w:t>
      </w:r>
      <w:r>
        <w:rPr>
          <w:rFonts w:hint="eastAsia" w:ascii="仿宋_GB2312" w:hAnsi="仿宋_GB2312" w:eastAsia="仿宋_GB2312" w:cs="仿宋_GB2312"/>
          <w:spacing w:val="0"/>
          <w:kern w:val="2"/>
          <w:sz w:val="32"/>
          <w:szCs w:val="32"/>
          <w:highlight w:val="none"/>
        </w:rPr>
        <w:t>对</w:t>
      </w:r>
      <w:r>
        <w:rPr>
          <w:rFonts w:hint="eastAsia" w:ascii="仿宋_GB2312" w:hAnsi="仿宋_GB2312" w:eastAsia="仿宋_GB2312" w:cs="仿宋_GB2312"/>
          <w:b w:val="0"/>
          <w:bCs w:val="0"/>
          <w:sz w:val="32"/>
          <w:szCs w:val="32"/>
          <w:highlight w:val="none"/>
          <w:lang w:val="en-US" w:eastAsia="zh-CN"/>
        </w:rPr>
        <w:t>广宁汇业</w:t>
      </w:r>
      <w:r>
        <w:rPr>
          <w:rFonts w:hint="eastAsia" w:ascii="仿宋_GB2312" w:hAnsi="仿宋_GB2312" w:eastAsia="仿宋_GB2312" w:cs="仿宋_GB2312"/>
          <w:color w:val="000000"/>
          <w:kern w:val="2"/>
          <w:sz w:val="32"/>
          <w:szCs w:val="32"/>
          <w:highlight w:val="none"/>
          <w:lang w:eastAsia="zh-CN"/>
        </w:rPr>
        <w:t>、刘锐、罗文哲</w:t>
      </w:r>
      <w:r>
        <w:rPr>
          <w:rFonts w:hint="eastAsia" w:ascii="仿宋_GB2312" w:hAnsi="仿宋_GB2312" w:eastAsia="仿宋_GB2312" w:cs="仿宋_GB2312"/>
          <w:spacing w:val="0"/>
          <w:kern w:val="2"/>
          <w:sz w:val="32"/>
          <w:szCs w:val="32"/>
          <w:highlight w:val="none"/>
          <w:lang w:eastAsia="zh-CN"/>
        </w:rPr>
        <w:t>采取出具警示函的行政监管措施</w:t>
      </w:r>
      <w:r>
        <w:rPr>
          <w:rFonts w:hint="eastAsia" w:ascii="仿宋_GB2312" w:hAnsi="仿宋_GB2312" w:eastAsia="仿宋_GB2312" w:cs="仿宋_GB2312"/>
          <w:spacing w:val="0"/>
          <w:kern w:val="2"/>
          <w:sz w:val="32"/>
          <w:szCs w:val="32"/>
          <w:highlight w:val="none"/>
        </w:rPr>
        <w:t>。</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你们</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spacing w:val="0"/>
          <w:kern w:val="0"/>
          <w:sz w:val="32"/>
          <w:szCs w:val="32"/>
          <w:lang w:val="en-US" w:eastAsia="zh-CN" w:bidi="ar-SA"/>
        </w:rPr>
        <w:t>加强对证券法律法规的学习，提高合规意识和内控水平</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杜绝类似问题再次发生。</w:t>
      </w:r>
    </w:p>
    <w:p>
      <w:pPr>
        <w:keepNext w:val="0"/>
        <w:keepLines w:val="0"/>
        <w:pageBreakBefore w:val="0"/>
        <w:widowControl/>
        <w:kinsoku/>
        <w:wordWrap/>
        <w:overflowPunct w:val="0"/>
        <w:topLinePunct w:val="0"/>
        <w:autoSpaceDE/>
        <w:autoSpaceDN/>
        <w:bidi w:val="0"/>
        <w:adjustRightInd w:val="0"/>
        <w:snapToGrid w:val="0"/>
        <w:spacing w:beforeLines="0" w:afterLines="0" w:line="336" w:lineRule="auto"/>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sz w:val="28"/>
          <w:szCs w:val="28"/>
          <w:highlight w:val="none"/>
        </w:rPr>
      </w:pPr>
    </w:p>
    <w:p>
      <w:pPr>
        <w:pStyle w:val="2"/>
        <w:rPr>
          <w:rFonts w:ascii="宋体" w:hAnsi="Calibri" w:cs="Times New Roman"/>
          <w:sz w:val="21"/>
          <w:szCs w:val="24"/>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sz w:val="28"/>
          <w:szCs w:val="28"/>
          <w:highlight w:val="none"/>
        </w:rPr>
      </w:pPr>
    </w:p>
    <w:p>
      <w:pPr>
        <w:adjustRightInd w:val="0"/>
        <w:snapToGrid w:val="0"/>
        <w:spacing w:line="360" w:lineRule="auto"/>
        <w:ind w:right="1705"/>
        <w:jc w:val="right"/>
        <w:rPr>
          <w:rFonts w:hint="eastAsia" w:ascii="仿宋_GB2312" w:hAnsi="Times New Roman" w:eastAsia="仿宋_GB2312" w:cs="Times New Roman"/>
          <w:sz w:val="32"/>
          <w:highlight w:val="none"/>
        </w:rPr>
      </w:pPr>
      <w:r>
        <w:rPr>
          <w:rFonts w:hint="eastAsia" w:ascii="仿宋_GB2312" w:hAnsi="Times New Roman" w:eastAsia="仿宋_GB2312" w:cs="Times New Roman"/>
          <w:sz w:val="32"/>
          <w:highlight w:val="none"/>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1134" w:firstLine="0"/>
        <w:jc w:val="right"/>
        <w:outlineLvl w:val="9"/>
        <w:rPr>
          <w:rFonts w:hint="eastAsia" w:ascii="仿宋_GB2312" w:hAnsi="Times New Roman" w:eastAsia="仿宋_GB2312" w:cs="Times New Roman"/>
          <w:spacing w:val="10"/>
          <w:sz w:val="32"/>
          <w:highlight w:val="none"/>
        </w:rPr>
      </w:pPr>
      <w:r>
        <w:rPr>
          <w:rFonts w:hint="eastAsia" w:ascii="仿宋_GB2312" w:hAnsi="Times New Roman" w:eastAsia="仿宋_GB2312" w:cs="Times New Roman"/>
          <w:spacing w:val="10"/>
          <w:sz w:val="32"/>
          <w:highlight w:val="none"/>
          <w:lang w:eastAsia="zh-CN"/>
        </w:rPr>
        <w:t>2</w:t>
      </w:r>
      <w:r>
        <w:rPr>
          <w:rFonts w:hint="eastAsia" w:ascii="仿宋_GB2312" w:hAnsi="Times New Roman" w:eastAsia="仿宋_GB2312" w:cs="Times New Roman"/>
          <w:spacing w:val="10"/>
          <w:sz w:val="32"/>
          <w:highlight w:val="none"/>
          <w:lang w:val="en-US" w:eastAsia="zh-CN"/>
        </w:rPr>
        <w:t>02</w:t>
      </w:r>
      <w:r>
        <w:rPr>
          <w:rFonts w:hint="eastAsia" w:ascii="仿宋_GB2312" w:eastAsia="仿宋_GB2312" w:cs="Times New Roman"/>
          <w:spacing w:val="10"/>
          <w:sz w:val="32"/>
          <w:highlight w:val="none"/>
          <w:lang w:val="en-US" w:eastAsia="zh-CN"/>
        </w:rPr>
        <w:t>4</w:t>
      </w:r>
      <w:r>
        <w:rPr>
          <w:rFonts w:hint="eastAsia" w:ascii="仿宋_GB2312" w:hAnsi="Times New Roman" w:eastAsia="仿宋_GB2312" w:cs="Times New Roman"/>
          <w:spacing w:val="10"/>
          <w:sz w:val="32"/>
          <w:highlight w:val="none"/>
        </w:rPr>
        <w:t>年</w:t>
      </w:r>
      <w:r>
        <w:rPr>
          <w:rFonts w:hint="eastAsia" w:ascii="仿宋_GB2312" w:eastAsia="仿宋_GB2312" w:cs="Times New Roman"/>
          <w:spacing w:val="10"/>
          <w:sz w:val="32"/>
          <w:highlight w:val="none"/>
          <w:lang w:val="en-US" w:eastAsia="zh-CN"/>
        </w:rPr>
        <w:t>11</w:t>
      </w:r>
      <w:r>
        <w:rPr>
          <w:rFonts w:hint="eastAsia" w:ascii="仿宋_GB2312" w:hAnsi="Times New Roman" w:eastAsia="仿宋_GB2312" w:cs="Times New Roman"/>
          <w:spacing w:val="10"/>
          <w:sz w:val="32"/>
          <w:highlight w:val="none"/>
        </w:rPr>
        <w:t>月</w:t>
      </w:r>
      <w:r>
        <w:rPr>
          <w:rFonts w:hint="default" w:ascii="仿宋_GB2312" w:eastAsia="仿宋_GB2312" w:cs="Times New Roman"/>
          <w:spacing w:val="10"/>
          <w:sz w:val="32"/>
          <w:highlight w:val="none"/>
          <w:lang w:val="en-US" w:eastAsia="zh-CN"/>
        </w:rPr>
        <w:t>29</w:t>
      </w:r>
      <w:r>
        <w:rPr>
          <w:rFonts w:hint="eastAsia" w:ascii="仿宋_GB2312" w:hAnsi="Times New Roman" w:eastAsia="仿宋_GB2312" w:cs="Times New Roman"/>
          <w:spacing w:val="10"/>
          <w:sz w:val="32"/>
          <w:highlight w:val="none"/>
        </w:rPr>
        <w:t>日</w:t>
      </w:r>
    </w:p>
    <w:p>
      <w:pPr>
        <w:pStyle w:val="2"/>
        <w:rPr>
          <w:rFonts w:hint="eastAsia" w:ascii="仿宋_GB2312" w:hAnsi="Times New Roman" w:eastAsia="仿宋_GB2312" w:cs="Times New Roman"/>
          <w:spacing w:val="10"/>
          <w:sz w:val="32"/>
          <w:highlight w:val="none"/>
        </w:rPr>
      </w:pPr>
    </w:p>
    <w:p>
      <w:pPr>
        <w:rPr>
          <w:rFonts w:hint="eastAsia" w:ascii="仿宋_GB2312" w:hAnsi="Times New Roman" w:eastAsia="仿宋_GB2312" w:cs="Times New Roman"/>
          <w:spacing w:val="10"/>
          <w:sz w:val="32"/>
          <w:highlight w:val="none"/>
        </w:rPr>
      </w:pPr>
    </w:p>
    <w:p>
      <w:pPr>
        <w:widowControl/>
        <w:numPr>
          <w:ilvl w:val="0"/>
          <w:numId w:val="0"/>
        </w:numPr>
        <w:pBdr>
          <w:top w:val="none" w:color="auto" w:sz="0" w:space="0"/>
          <w:bottom w:val="none" w:color="auto" w:sz="0" w:space="0"/>
        </w:pBdr>
        <w:adjustRightInd w:val="0"/>
        <w:snapToGrid w:val="0"/>
        <w:spacing w:beforeLines="0" w:afterLines="0" w:line="360" w:lineRule="auto"/>
        <w:ind w:right="1134"/>
        <w:jc w:val="right"/>
        <w:outlineLvl w:val="9"/>
        <w:rPr>
          <w:rFonts w:hint="eastAsia"/>
          <w:sz w:val="32"/>
          <w:szCs w:val="32"/>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ind w:firstLine="0"/>
        <w:rPr>
          <w:rFonts w:hint="default"/>
        </w:rPr>
      </w:pPr>
    </w:p>
    <w:p>
      <w:pPr>
        <w:pBdr>
          <w:top w:val="single" w:color="auto" w:sz="8" w:space="6"/>
        </w:pBdr>
        <w:adjustRightInd w:val="0"/>
        <w:snapToGrid w:val="0"/>
        <w:spacing w:after="109" w:afterLines="35"/>
        <w:ind w:firstLine="302" w:firstLineChars="100"/>
        <w:rPr>
          <w:rFonts w:hint="eastAsia" w:ascii="仿宋_GB2312" w:eastAsia="仿宋_GB2312"/>
          <w:spacing w:val="11"/>
          <w:sz w:val="28"/>
          <w:szCs w:val="20"/>
          <w:highlight w:val="none"/>
          <w:lang w:eastAsia="zh-CN"/>
        </w:rPr>
      </w:pPr>
      <w:r>
        <w:rPr>
          <w:rFonts w:hint="eastAsia" w:ascii="仿宋_GB2312" w:hAnsi="Times New Roman" w:eastAsia="仿宋_GB2312"/>
          <w:spacing w:val="11"/>
          <w:sz w:val="28"/>
          <w:szCs w:val="20"/>
          <w:highlight w:val="none"/>
        </w:rPr>
        <w:t>抄送：</w:t>
      </w:r>
      <w:r>
        <w:rPr>
          <w:rFonts w:hint="eastAsia" w:ascii="仿宋_GB2312" w:eastAsia="仿宋_GB2312"/>
          <w:spacing w:val="11"/>
          <w:sz w:val="28"/>
          <w:szCs w:val="20"/>
          <w:highlight w:val="none"/>
          <w:lang w:eastAsia="zh-CN"/>
        </w:rPr>
        <w:t>证监会债券司、法治司；</w:t>
      </w:r>
    </w:p>
    <w:p>
      <w:pPr>
        <w:pBdr>
          <w:top w:val="single" w:color="auto" w:sz="8" w:space="6"/>
        </w:pBdr>
        <w:adjustRightInd w:val="0"/>
        <w:snapToGrid w:val="0"/>
        <w:spacing w:after="109" w:afterLines="35"/>
        <w:ind w:firstLine="2114" w:firstLineChars="700"/>
        <w:rPr>
          <w:rFonts w:hint="eastAsia" w:ascii="仿宋_GB2312" w:eastAsia="仿宋_GB2312"/>
          <w:spacing w:val="11"/>
          <w:sz w:val="28"/>
          <w:szCs w:val="20"/>
          <w:highlight w:val="none"/>
          <w:lang w:eastAsia="zh-CN"/>
        </w:rPr>
      </w:pPr>
      <w:r>
        <w:rPr>
          <w:rFonts w:hint="eastAsia" w:ascii="仿宋_GB2312" w:eastAsia="仿宋_GB2312"/>
          <w:spacing w:val="11"/>
          <w:sz w:val="28"/>
          <w:szCs w:val="20"/>
          <w:highlight w:val="none"/>
          <w:lang w:eastAsia="zh-CN"/>
        </w:rPr>
        <w:t>上海证券交易所、深圳证券交易所、北京证券交易所；中国证券业协会；</w:t>
      </w:r>
    </w:p>
    <w:p>
      <w:pPr>
        <w:pBdr>
          <w:top w:val="single" w:color="auto" w:sz="8" w:space="6"/>
        </w:pBdr>
        <w:adjustRightInd w:val="0"/>
        <w:snapToGrid w:val="0"/>
        <w:spacing w:after="109" w:afterLines="35"/>
        <w:ind w:firstLine="1208" w:firstLineChars="400"/>
        <w:rPr>
          <w:rFonts w:hint="eastAsia" w:ascii="仿宋_GB2312" w:hAnsi="Times New Roman" w:eastAsia="仿宋_GB2312"/>
          <w:spacing w:val="11"/>
          <w:sz w:val="28"/>
          <w:szCs w:val="20"/>
          <w:highlight w:val="none"/>
          <w:lang w:val="en-US" w:eastAsia="zh-CN"/>
        </w:rPr>
      </w:pPr>
      <w:r>
        <w:rPr>
          <w:rFonts w:hint="eastAsia" w:ascii="仿宋_GB2312" w:hAnsi="Times New Roman" w:eastAsia="仿宋_GB2312"/>
          <w:spacing w:val="11"/>
          <w:sz w:val="28"/>
          <w:szCs w:val="20"/>
          <w:highlight w:val="none"/>
          <w:lang w:eastAsia="zh-CN"/>
        </w:rPr>
        <w:t>华福证券有限</w:t>
      </w:r>
      <w:r>
        <w:rPr>
          <w:rFonts w:hint="eastAsia" w:ascii="仿宋_GB2312" w:eastAsia="仿宋_GB2312"/>
          <w:spacing w:val="11"/>
          <w:sz w:val="28"/>
          <w:szCs w:val="20"/>
          <w:highlight w:val="none"/>
          <w:lang w:eastAsia="zh-CN"/>
        </w:rPr>
        <w:t>责任</w:t>
      </w:r>
      <w:r>
        <w:rPr>
          <w:rFonts w:hint="eastAsia" w:ascii="仿宋_GB2312" w:hAnsi="Times New Roman" w:eastAsia="仿宋_GB2312"/>
          <w:spacing w:val="11"/>
          <w:sz w:val="28"/>
          <w:szCs w:val="20"/>
          <w:highlight w:val="none"/>
          <w:lang w:eastAsia="zh-CN"/>
        </w:rPr>
        <w:t>公司。</w:t>
      </w:r>
    </w:p>
    <w:p>
      <w:pPr>
        <w:pBdr>
          <w:top w:val="single" w:color="auto" w:sz="4" w:space="6"/>
        </w:pBdr>
        <w:adjustRightInd w:val="0"/>
        <w:snapToGrid w:val="0"/>
        <w:spacing w:after="109" w:afterLines="35"/>
        <w:ind w:firstLine="318"/>
        <w:jc w:val="left"/>
        <w:rPr>
          <w:rFonts w:hint="eastAsia" w:ascii="仿宋_GB2312" w:hAnsi="Times New Roman" w:eastAsia="仿宋_GB2312"/>
          <w:spacing w:val="8"/>
          <w:sz w:val="28"/>
          <w:szCs w:val="20"/>
          <w:highlight w:val="none"/>
        </w:rPr>
      </w:pPr>
      <w:r>
        <w:rPr>
          <w:rFonts w:hint="eastAsia" w:ascii="仿宋_GB2312" w:hAnsi="Times New Roman" w:eastAsia="仿宋_GB2312"/>
          <w:spacing w:val="8"/>
          <w:sz w:val="28"/>
          <w:szCs w:val="20"/>
          <w:highlight w:val="none"/>
        </w:rPr>
        <w:t xml:space="preserve">广东证监局办公室       </w:t>
      </w:r>
      <w:r>
        <w:rPr>
          <w:rFonts w:hint="default" w:ascii="仿宋_GB2312" w:eastAsia="仿宋_GB2312"/>
          <w:spacing w:val="8"/>
          <w:sz w:val="28"/>
          <w:szCs w:val="20"/>
          <w:highlight w:val="none"/>
          <w:lang w:val="en-US"/>
        </w:rPr>
        <w:t xml:space="preserve"> </w:t>
      </w:r>
      <w:r>
        <w:rPr>
          <w:rFonts w:hint="eastAsia" w:ascii="仿宋_GB2312" w:hAnsi="Times New Roman" w:eastAsia="仿宋_GB2312"/>
          <w:spacing w:val="8"/>
          <w:sz w:val="28"/>
          <w:szCs w:val="20"/>
          <w:highlight w:val="none"/>
        </w:rPr>
        <w:t xml:space="preserve">   </w:t>
      </w:r>
      <w:r>
        <w:rPr>
          <w:rFonts w:hint="default" w:ascii="仿宋_GB2312" w:hAnsi="Times New Roman" w:eastAsia="仿宋_GB2312"/>
          <w:spacing w:val="8"/>
          <w:sz w:val="28"/>
          <w:szCs w:val="20"/>
          <w:highlight w:val="none"/>
          <w:lang w:val="en"/>
        </w:rPr>
        <w:t xml:space="preserve"> </w:t>
      </w:r>
      <w:r>
        <w:rPr>
          <w:rFonts w:hint="eastAsia" w:ascii="仿宋_GB2312" w:hAnsi="Times New Roman" w:eastAsia="仿宋_GB2312"/>
          <w:spacing w:val="8"/>
          <w:sz w:val="28"/>
          <w:szCs w:val="20"/>
          <w:highlight w:val="none"/>
        </w:rPr>
        <w:t xml:space="preserve">   </w:t>
      </w:r>
      <w:r>
        <w:rPr>
          <w:rFonts w:hint="default" w:ascii="仿宋_GB2312" w:hAnsi="Times New Roman" w:eastAsia="仿宋_GB2312"/>
          <w:spacing w:val="8"/>
          <w:sz w:val="28"/>
          <w:szCs w:val="20"/>
          <w:highlight w:val="none"/>
          <w:lang w:val="en" w:eastAsia="zh-CN"/>
        </w:rPr>
        <w:t xml:space="preserve"> </w:t>
      </w:r>
      <w:r>
        <w:rPr>
          <w:rFonts w:hint="eastAsia" w:ascii="仿宋_GB2312" w:hAnsi="Times New Roman" w:eastAsia="仿宋_GB2312"/>
          <w:spacing w:val="8"/>
          <w:sz w:val="28"/>
          <w:szCs w:val="20"/>
          <w:highlight w:val="none"/>
          <w:lang w:val="en-US" w:eastAsia="zh-CN"/>
        </w:rPr>
        <w:t xml:space="preserve">  </w:t>
      </w:r>
      <w:r>
        <w:rPr>
          <w:rFonts w:hint="eastAsia" w:ascii="仿宋_GB2312" w:hAnsi="Times New Roman" w:eastAsia="仿宋_GB2312"/>
          <w:spacing w:val="8"/>
          <w:sz w:val="28"/>
          <w:szCs w:val="20"/>
          <w:highlight w:val="none"/>
        </w:rPr>
        <w:t xml:space="preserve"> </w:t>
      </w:r>
      <w:r>
        <w:rPr>
          <w:rFonts w:hint="eastAsia" w:ascii="仿宋_GB2312" w:hAnsi="Times New Roman" w:eastAsia="仿宋_GB2312"/>
          <w:spacing w:val="8"/>
          <w:sz w:val="28"/>
          <w:szCs w:val="20"/>
          <w:highlight w:val="none"/>
          <w:lang w:eastAsia="zh-CN"/>
        </w:rPr>
        <w:t>20</w:t>
      </w:r>
      <w:r>
        <w:rPr>
          <w:rFonts w:hint="eastAsia" w:ascii="仿宋_GB2312" w:hAnsi="Times New Roman" w:eastAsia="仿宋_GB2312"/>
          <w:spacing w:val="8"/>
          <w:sz w:val="28"/>
          <w:szCs w:val="20"/>
          <w:highlight w:val="none"/>
          <w:lang w:val="en-US" w:eastAsia="zh-CN"/>
        </w:rPr>
        <w:t>2</w:t>
      </w:r>
      <w:r>
        <w:rPr>
          <w:rFonts w:hint="eastAsia" w:ascii="仿宋_GB2312" w:eastAsia="仿宋_GB2312"/>
          <w:spacing w:val="8"/>
          <w:sz w:val="28"/>
          <w:szCs w:val="20"/>
          <w:highlight w:val="none"/>
          <w:lang w:val="en-US" w:eastAsia="zh-CN"/>
        </w:rPr>
        <w:t>4</w:t>
      </w:r>
      <w:r>
        <w:rPr>
          <w:rFonts w:hint="eastAsia" w:ascii="仿宋_GB2312" w:hAnsi="Times New Roman" w:eastAsia="仿宋_GB2312"/>
          <w:spacing w:val="8"/>
          <w:sz w:val="28"/>
          <w:szCs w:val="20"/>
          <w:highlight w:val="none"/>
        </w:rPr>
        <w:t>年</w:t>
      </w:r>
      <w:r>
        <w:rPr>
          <w:rFonts w:hint="eastAsia" w:ascii="仿宋_GB2312" w:eastAsia="仿宋_GB2312"/>
          <w:spacing w:val="8"/>
          <w:sz w:val="28"/>
          <w:szCs w:val="20"/>
          <w:highlight w:val="none"/>
          <w:lang w:val="en-US" w:eastAsia="zh-CN"/>
        </w:rPr>
        <w:t>1</w:t>
      </w:r>
      <w:r>
        <w:rPr>
          <w:rFonts w:hint="default" w:ascii="仿宋_GB2312" w:eastAsia="仿宋_GB2312"/>
          <w:spacing w:val="8"/>
          <w:sz w:val="28"/>
          <w:szCs w:val="20"/>
          <w:highlight w:val="none"/>
          <w:lang w:val="en-US" w:eastAsia="zh-CN"/>
        </w:rPr>
        <w:t>2</w:t>
      </w:r>
      <w:r>
        <w:rPr>
          <w:rFonts w:hint="eastAsia" w:ascii="仿宋_GB2312" w:hAnsi="Times New Roman" w:eastAsia="仿宋_GB2312"/>
          <w:spacing w:val="8"/>
          <w:sz w:val="28"/>
          <w:szCs w:val="20"/>
          <w:highlight w:val="none"/>
        </w:rPr>
        <w:t>月</w:t>
      </w:r>
      <w:r>
        <w:rPr>
          <w:rFonts w:hint="default" w:ascii="仿宋_GB2312" w:eastAsia="仿宋_GB2312"/>
          <w:spacing w:val="8"/>
          <w:sz w:val="28"/>
          <w:szCs w:val="20"/>
          <w:highlight w:val="none"/>
          <w:lang w:val="en-US" w:eastAsia="zh-CN"/>
        </w:rPr>
        <w:t>3</w:t>
      </w:r>
      <w:r>
        <w:rPr>
          <w:rFonts w:hint="eastAsia" w:ascii="仿宋_GB2312" w:hAnsi="Times New Roman" w:eastAsia="仿宋_GB2312"/>
          <w:spacing w:val="8"/>
          <w:sz w:val="28"/>
          <w:szCs w:val="20"/>
          <w:highlight w:val="none"/>
        </w:rPr>
        <w:t>日印发</w:t>
      </w:r>
    </w:p>
    <w:p>
      <w:pPr>
        <w:pBdr>
          <w:top w:val="single" w:color="auto" w:sz="8" w:space="7"/>
        </w:pBdr>
        <w:overflowPunct w:val="0"/>
        <w:adjustRightInd w:val="0"/>
        <w:snapToGrid w:val="0"/>
        <w:spacing w:beforeLines="0" w:after="0" w:afterLines="0"/>
        <w:ind w:firstLine="0"/>
        <w:jc w:val="left"/>
        <w:rPr>
          <w:rFonts w:hint="eastAsia" w:ascii="仿宋_GB2312" w:hAnsi="Times New Roman" w:eastAsia="仿宋_GB2312"/>
          <w:spacing w:val="8"/>
          <w:sz w:val="2"/>
          <w:szCs w:val="2"/>
          <w:highlight w:val="none"/>
        </w:rPr>
      </w:pPr>
    </w:p>
    <w:p>
      <w:pPr>
        <w:snapToGrid w:val="0"/>
        <w:spacing w:beforeLines="0" w:afterLines="0"/>
        <w:rPr>
          <w:sz w:val="2"/>
          <w:szCs w:val="2"/>
          <w:highlight w:val="none"/>
        </w:rPr>
      </w:pPr>
    </w:p>
    <w:bookmarkEnd w:id="0"/>
    <w:p>
      <w:bookmarkStart w:id="1" w:name="结束"/>
      <w:bookmarkEnd w:id="1"/>
    </w:p>
    <w:sectPr>
      <w:headerReference r:id="rId3" w:type="default"/>
      <w:footerReference r:id="rId4" w:type="default"/>
      <w:pgSz w:w="11906" w:h="16838"/>
      <w:pgMar w:top="2097"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s0lY7tAAAAAFAQAA&#10;DwAAAAAAAAABACAAAAA4AAAAZHJzL2Rvd25yZXYueG1sUEsBAhQAFAAAAAgAh07iQF4aj184AgAA&#10;bwQAAA4AAAAAAAAAAQAgAAAANQ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3C7C"/>
    <w:rsid w:val="05FFF780"/>
    <w:rsid w:val="1FAFD3BA"/>
    <w:rsid w:val="2FED6F55"/>
    <w:rsid w:val="34FB526B"/>
    <w:rsid w:val="3F733C7C"/>
    <w:rsid w:val="4AEF4422"/>
    <w:rsid w:val="4BFAC2A7"/>
    <w:rsid w:val="4EDACF1A"/>
    <w:rsid w:val="4FF3469B"/>
    <w:rsid w:val="5DDE9E13"/>
    <w:rsid w:val="5F325473"/>
    <w:rsid w:val="5FFF4405"/>
    <w:rsid w:val="63F5BA7B"/>
    <w:rsid w:val="67BDD8AE"/>
    <w:rsid w:val="67F7ECF5"/>
    <w:rsid w:val="6C7FE1DE"/>
    <w:rsid w:val="6DF3CA59"/>
    <w:rsid w:val="6EBBB180"/>
    <w:rsid w:val="6FBB6904"/>
    <w:rsid w:val="6FF76A24"/>
    <w:rsid w:val="76C9183A"/>
    <w:rsid w:val="772FBC43"/>
    <w:rsid w:val="77361950"/>
    <w:rsid w:val="77FFF6CD"/>
    <w:rsid w:val="79B6BFFD"/>
    <w:rsid w:val="7A5D221F"/>
    <w:rsid w:val="7A767EB7"/>
    <w:rsid w:val="7AD6A379"/>
    <w:rsid w:val="7AEB803D"/>
    <w:rsid w:val="7BE72F2D"/>
    <w:rsid w:val="7CAD38C9"/>
    <w:rsid w:val="7DCF5496"/>
    <w:rsid w:val="7E7D119D"/>
    <w:rsid w:val="7EFE34F4"/>
    <w:rsid w:val="7F6F5865"/>
    <w:rsid w:val="7F6FE2F7"/>
    <w:rsid w:val="7FBF9D2C"/>
    <w:rsid w:val="7FF7B0F5"/>
    <w:rsid w:val="9DFF5B9E"/>
    <w:rsid w:val="A3FF904D"/>
    <w:rsid w:val="B5D63DD5"/>
    <w:rsid w:val="B79D5B20"/>
    <w:rsid w:val="B7F513AA"/>
    <w:rsid w:val="B9F7A1A3"/>
    <w:rsid w:val="B9FBE5C8"/>
    <w:rsid w:val="BEBDE327"/>
    <w:rsid w:val="BFFB63BD"/>
    <w:rsid w:val="D67F1ABF"/>
    <w:rsid w:val="D7EEE9CC"/>
    <w:rsid w:val="DDFF4898"/>
    <w:rsid w:val="DEFF0078"/>
    <w:rsid w:val="DFBFF5B1"/>
    <w:rsid w:val="E1A3DF6A"/>
    <w:rsid w:val="E4FB5EC0"/>
    <w:rsid w:val="E72B01F8"/>
    <w:rsid w:val="EBAD3BDA"/>
    <w:rsid w:val="EF66DA70"/>
    <w:rsid w:val="EFC78EAD"/>
    <w:rsid w:val="F0AB2929"/>
    <w:rsid w:val="F3FD855B"/>
    <w:rsid w:val="F5FF3621"/>
    <w:rsid w:val="F7DFD644"/>
    <w:rsid w:val="F9715E20"/>
    <w:rsid w:val="FBFE9B8F"/>
    <w:rsid w:val="FBFFE6B3"/>
    <w:rsid w:val="FC9F72E5"/>
    <w:rsid w:val="FDBC7597"/>
    <w:rsid w:val="FDFF4D25"/>
    <w:rsid w:val="FE3B6F72"/>
    <w:rsid w:val="FEB9B5DB"/>
    <w:rsid w:val="FEEA649C"/>
    <w:rsid w:val="FF7D9F78"/>
    <w:rsid w:val="FFEACADD"/>
    <w:rsid w:val="FFF707BA"/>
    <w:rsid w:val="FFF7824C"/>
    <w:rsid w:val="FFF7E71C"/>
    <w:rsid w:val="FFF8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2024-10-01T23:14:00Z</dcterms:created>
  <dc:creator>贺家丰：承办人拟稿</dc:creator>
  <cp:lastModifiedBy>贺家丰</cp:lastModifiedBy>
  <dcterms:modified xsi:type="dcterms:W3CDTF">2024-12-03T16:06:58Z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4C0701DD282AB54522BC4E67D5B0C35D</vt:lpwstr>
  </property>
</Properties>
</file>