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199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Pjv5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4"/>
        <w:widowControl/>
        <w:pBdr>
          <w:bottom w:val="none" w:color="auto" w:sz="0" w:space="0"/>
        </w:pBdr>
        <w:adjustRightInd w:val="0"/>
        <w:snapToGrid w:val="0"/>
        <w:spacing w:afterLines="0" w:line="240" w:lineRule="auto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bookmarkStart w:id="0" w:name="quanwen"/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关于对</w:t>
      </w: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  <w:lang w:eastAsia="zh-CN"/>
        </w:rPr>
        <w:t>广东迪生力汽配</w:t>
      </w: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股份有限公司</w:t>
      </w: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  <w:lang w:eastAsia="zh-CN"/>
        </w:rPr>
        <w:t>、</w:t>
      </w:r>
      <w:r>
        <w:rPr>
          <w:rFonts w:hint="eastAsia" w:ascii="方正小标宋简体" w:hAnsi="方正小标宋简体" w:eastAsia="方正小标宋简体" w:cs="Times New Roman"/>
          <w:color w:val="auto"/>
          <w:spacing w:val="0"/>
          <w:kern w:val="0"/>
          <w:sz w:val="44"/>
          <w:szCs w:val="18"/>
          <w:highlight w:val="none"/>
          <w:lang w:val="en-US" w:eastAsia="zh-CN"/>
        </w:rPr>
        <w:t>赵瑞贞、朱东奇</w:t>
      </w: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采取出具警示函措施的决定</w:t>
      </w:r>
    </w:p>
    <w:p>
      <w:pPr>
        <w:adjustRightInd w:val="0"/>
        <w:snapToGrid w:val="0"/>
        <w:spacing w:afterLines="0" w:line="240" w:lineRule="auto"/>
        <w:rPr>
          <w:rFonts w:hint="eastAsia" w:ascii="方正小标宋简体" w:hAnsi="方正小标宋简体" w:eastAsia="方正小标宋简体" w:cs="方正小标宋简体"/>
          <w:spacing w:val="8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广东迪生力汽配股份有限公司、赵瑞贞、朱东奇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12" w:lineRule="auto"/>
        <w:ind w:firstLine="640"/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根据《上市公司现场检查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规则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》（证监会公告〔2022〕21号）等规定，我局对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广东迪生力汽配股份</w:t>
      </w:r>
      <w:bookmarkStart w:id="1" w:name="_GoBack"/>
      <w:bookmarkEnd w:id="1"/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宋体"/>
          <w:snapToGrid w:val="0"/>
          <w:color w:val="auto"/>
          <w:spacing w:val="8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以下简称迪生力</w:t>
      </w:r>
      <w:r>
        <w:rPr>
          <w:rFonts w:hint="eastAsia" w:ascii="仿宋_GB2312" w:hAnsi="Times New Roman" w:eastAsia="仿宋_GB2312" w:cs="黑体"/>
          <w:spacing w:val="-6"/>
          <w:kern w:val="2"/>
          <w:sz w:val="32"/>
          <w:szCs w:val="32"/>
          <w:highlight w:val="none"/>
          <w:lang w:val="en-US" w:eastAsia="zh-CN" w:bidi="ar-SA"/>
        </w:rPr>
        <w:t>或公司</w:t>
      </w:r>
      <w:r>
        <w:rPr>
          <w:rFonts w:hint="eastAsia" w:ascii="仿宋_GB2312" w:hAnsi="仿宋_GB2312" w:eastAsia="仿宋_GB2312" w:cs="宋体"/>
          <w:snapToGrid w:val="0"/>
          <w:color w:val="auto"/>
          <w:spacing w:val="8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进行了现场检查，发现公司存在以下问题：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12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因“三旧”改造等原因，迪生力轮毂生产线于2023年8月开始停产，开展部分旧设备拆除、搬迁至新厂区等工作，直至2024年1月在新厂区启动生产。期间，公司轮毂生产业务完全停止，对公司的整体生产经营产生了较大的影响。公司于2023年11月30日发布《关于公司经营住所变更暨修订公司章程的公告》，披露公司进行整体搬迁和经营住所变更，但未披露轮毂业务停产等重要信息。上述情形不符合《上市公司信息披露管理办法》（证监会令第182号）第三条第一款、第二十二条第一款、第二款第十一项的相关规定。</w:t>
      </w:r>
    </w:p>
    <w:p>
      <w:pPr>
        <w:overflowPunct w:val="0"/>
        <w:snapToGrid w:val="0"/>
        <w:spacing w:beforeLines="0" w:afterLines="0" w:line="312" w:lineRule="auto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赵瑞贞作为公司董事长、总经理，朱东奇作为公司董事会秘书，未按照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上市公司信息披露管理办法》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第四条的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规定履行勤勉尽责义务，对公司上述违规行为负有主要责任。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12" w:lineRule="auto"/>
        <w:ind w:right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上市公司信息披露管理办法》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1"/>
          <w:highlight w:val="none"/>
          <w:lang w:val="en-US" w:eastAsia="zh-CN" w:bidi="ar-SA"/>
        </w:rPr>
        <w:t>第五十一条第二款、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五十二条的规定，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我局决定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迪生力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、赵瑞贞、朱东奇采取出具警示函的行政监管措施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。你公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司及相关人员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应认真吸取教训，加强对证券法律法规的学习，提升依法合规履职意识，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依法真实、准确、完整、及时、公平地履行信息披露义务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。同时公司应对相关责任人员进行内部问责，于收到本决定书30日内向我局报送公司整改报告、内部问责情况报告，并抄报上海证券交易所。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312" w:lineRule="auto"/>
        <w:ind w:left="0" w:leftChars="0" w:right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1"/>
          <w:szCs w:val="21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26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color w:val="000000"/>
          <w:spacing w:val="8"/>
          <w:sz w:val="28"/>
          <w:highlight w:val="none"/>
          <w:u w:val="none"/>
          <w:lang w:eastAsia="zh-CN"/>
        </w:rPr>
        <w:t>证监会上市司、法治司；</w:t>
      </w:r>
      <w:r>
        <w:rPr>
          <w:rFonts w:hint="eastAsia" w:ascii="仿宋_GB2312" w:eastAsia="仿宋_GB2312"/>
          <w:spacing w:val="8"/>
          <w:sz w:val="28"/>
          <w:lang w:eastAsia="zh-CN"/>
        </w:rPr>
        <w:t>上海</w:t>
      </w:r>
      <w:r>
        <w:rPr>
          <w:rFonts w:hint="eastAsia" w:ascii="仿宋_GB2312" w:eastAsia="仿宋_GB2312"/>
          <w:color w:val="000000"/>
          <w:spacing w:val="8"/>
          <w:sz w:val="28"/>
          <w:highlight w:val="none"/>
          <w:u w:val="none"/>
          <w:lang w:eastAsia="zh-CN"/>
        </w:rPr>
        <w:t>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27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footerReference r:id="rId3" w:type="default"/>
      <w:pgSz w:w="11906" w:h="16838"/>
      <w:pgMar w:top="2097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BQAAAAIAIdO4kDOqXm5zwAA&#10;AAUBAAAPAAAAAAAAAAEAIAAAADgAAABkcnMvZG93bnJldi54bWxQSwECFAAUAAAACACHTuJAF0mU&#10;5cwBAACnAwAADgAAAAAAAAABACAAAAA0AQAAZHJzL2Uyb0RvYy54bWxQSwECFAAKAAAAAACHTuJA&#10;AAAAAAAAAAAAAAAABAAAAAAAAAAAABAAAAAWAAAAZHJzL1BLAQIUAAoAAAAAAIdO4kAAAAAAAAAA&#10;AAAAAAAGAAAAAAAAAAAAEAAAACwDAABfcmVscy9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51BF0"/>
    <w:rsid w:val="3F875D67"/>
    <w:rsid w:val="4FDF6B8B"/>
    <w:rsid w:val="5BFD98C1"/>
    <w:rsid w:val="5FAF2BFE"/>
    <w:rsid w:val="67DFB6BD"/>
    <w:rsid w:val="77FB2AF5"/>
    <w:rsid w:val="7E7F6CBB"/>
    <w:rsid w:val="E76937AF"/>
    <w:rsid w:val="EF753A93"/>
    <w:rsid w:val="F769EEC0"/>
    <w:rsid w:val="FBD5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2024-11-17T03:15:00Z</dcterms:created>
  <dc:creator>张卿萌</dc:creator>
  <cp:lastModifiedBy>张卿萌</cp:lastModifiedBy>
  <dcterms:modified xsi:type="dcterms:W3CDTF">2024-12-02T15:18:57Z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A8AB25CE96584667615F4D674FB81FAC</vt:lpwstr>
  </property>
</Properties>
</file>