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4"/>
          <w:szCs w:val="44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193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wvtZLWAAAACAEAAA8AAAAAAAAA&#10;AQAgAAAAOAAAAGRycy9kb3ducmV2LnhtbFBLAQIUABQAAAAIAIdO4kAV8uZj/QEAAPUDAAAOAAAA&#10;AAAAAAEAIAAAADsBAABkcnMvZTJvRG9jLnhtbF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关于对</w:t>
      </w:r>
      <w:r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" w:eastAsia="zh-CN"/>
        </w:rPr>
        <w:t>威创集团股份有限公司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、陆宇、陈香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采取责令改正措施的决定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威创集团股份有限公司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陆宇、陈香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经查，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" w:eastAsia="zh-CN"/>
        </w:rPr>
        <w:t>威创集团股份有限公司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（以下简称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" w:eastAsia="zh-CN"/>
        </w:rPr>
        <w:t>*ST威创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" w:eastAsia="zh-CN"/>
        </w:rPr>
        <w:t>或公司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）存在以下违规问题：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2023年5月和9月，</w:t>
      </w:r>
      <w:r>
        <w:rPr>
          <w:rFonts w:hint="eastAsia" w:ascii="仿宋_GB2312" w:hAnsi="仿宋_GB2312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*ST威创分别与公司5位董监高人员签署《解除劳动关系协议书》，累计向其支付离职补偿金2381.78万元（税前金额）。公司于2023年9月实际向上述人员支付了税后补偿金。经查，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上述5名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lang w:val="en-US" w:eastAsia="zh-CN"/>
        </w:rPr>
        <w:t>离职人员</w:t>
      </w:r>
      <w:r>
        <w:rPr>
          <w:rFonts w:hint="eastAsia" w:ascii="仿宋_GB2312" w:hAnsi="仿宋_GB2312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作为*ST威创时任董监高人员，属于公司的关联自然人，公司向上述人员支付的补偿金均超过了30万元，但公司未按规定履行审议程序，也未及时披露上述与关联方的关联交易，违反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上市公司信息披露管理办法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（证监会令第182号，下同）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第三条第一款、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第二十二条第一款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的规定。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*ST威创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时任董事长、总经理陆宇，时任董事会秘书陈香未按照《信息披露管理办法》第四条、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第五十一条第二款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规定履行勤勉尽责义务，对公司上述违规行为负有主要责任。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36" w:lineRule="auto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highlight w:val="none"/>
          <w:lang w:eastAsia="zh-CN"/>
        </w:rPr>
        <w:t>根据《信息披露管理办法》第五十二条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的规定，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我局决定对</w:t>
      </w:r>
      <w:r>
        <w:rPr>
          <w:rFonts w:hint="default" w:ascii="仿宋_GB2312" w:hAnsi="Times New Roman" w:eastAsia="仿宋_GB2312" w:cs="Times New Roman"/>
          <w:kern w:val="0"/>
          <w:sz w:val="32"/>
          <w:szCs w:val="32"/>
          <w:highlight w:val="none"/>
          <w:lang w:val="en" w:eastAsia="zh-CN" w:bidi="ar-SA"/>
        </w:rPr>
        <w:t>*ST威创、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陆宇、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陈香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采取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责令改正的行政监管措施，</w:t>
      </w:r>
      <w:r>
        <w:rPr>
          <w:rFonts w:hint="default" w:ascii="仿宋_GB2312" w:hAnsi="Times New Roman" w:eastAsia="仿宋_GB2312" w:cs="Times New Roman"/>
          <w:kern w:val="0"/>
          <w:sz w:val="32"/>
          <w:szCs w:val="32"/>
          <w:highlight w:val="none"/>
          <w:lang w:val="en" w:eastAsia="zh-CN" w:bidi="ar-SA"/>
        </w:rPr>
        <w:t>*ST威创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应采取有效措施积极整改，并在收到本决定书之日起10个工作日内向我局报送整改方案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??" w:eastAsia="仿宋_GB2312" w:cs="Times New Roman"/>
          <w:color w:val="auto"/>
          <w:spacing w:val="0"/>
          <w:kern w:val="0"/>
          <w:sz w:val="32"/>
          <w:szCs w:val="20"/>
          <w:highlight w:val="none"/>
          <w:lang w:val="en-US" w:eastAsia="zh-CN" w:bidi="ar-SA"/>
        </w:rPr>
        <w:t>你们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20"/>
          <w:highlight w:val="none"/>
          <w:lang w:val="en-US" w:eastAsia="zh-CN" w:bidi="ar-SA"/>
        </w:rPr>
        <w:t>应认真吸取教训，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20"/>
          <w:highlight w:val="none"/>
          <w:lang w:val="en-US" w:eastAsia="zh-CN" w:bidi="ar-SA"/>
        </w:rPr>
        <w:t>切实加强对证券法律法规的学习，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依法真实、准确、完整、及时、公平地履行信息披露义务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20"/>
          <w:highlight w:val="none"/>
          <w:lang w:val="en-US" w:eastAsia="zh-CN" w:bidi="ar-SA"/>
        </w:rPr>
        <w:t>。</w:t>
      </w:r>
    </w:p>
    <w:p>
      <w:pPr>
        <w:widowControl w:val="0"/>
        <w:wordWrap/>
        <w:adjustRightInd w:val="0"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如果对本监督管理措施不服，可以在收到本决定书之日起60日内向中国证券监督管理委员会提出行政复议申请,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0"/>
          <w:szCs w:val="20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抄送：证监会上市司、法治司；深圳证券交易所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20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609000101010101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4B877E"/>
    <w:rsid w:val="353DDFA0"/>
    <w:rsid w:val="3E1764B7"/>
    <w:rsid w:val="3FAFCC37"/>
    <w:rsid w:val="3FFB2665"/>
    <w:rsid w:val="3FFDDBD2"/>
    <w:rsid w:val="5F97A9E3"/>
    <w:rsid w:val="7461F038"/>
    <w:rsid w:val="7B6F6C08"/>
    <w:rsid w:val="7BE5AF42"/>
    <w:rsid w:val="7DFFD9AB"/>
    <w:rsid w:val="7FEF17BC"/>
    <w:rsid w:val="BFD54A17"/>
    <w:rsid w:val="C5FF2A4F"/>
    <w:rsid w:val="CCE73BDC"/>
    <w:rsid w:val="CF337F50"/>
    <w:rsid w:val="DB97ECE2"/>
    <w:rsid w:val="DEFF37CC"/>
    <w:rsid w:val="DF3D1170"/>
    <w:rsid w:val="EF9E69EB"/>
    <w:rsid w:val="EFB6EB34"/>
    <w:rsid w:val="F6FD0C9B"/>
    <w:rsid w:val="F74B877E"/>
    <w:rsid w:val="FEEF88E4"/>
    <w:rsid w:val="FF9FA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2024-10-04T08:47:00Z</dcterms:created>
  <dc:creator>林若晨</dc:creator>
  <cp:lastModifiedBy>林若晨</cp:lastModifiedBy>
  <dcterms:modified xsi:type="dcterms:W3CDTF">2024-11-21T14:48:35Z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406C76227AACDD68D0A83E6705D2F436</vt:lpwstr>
  </property>
</Properties>
</file>