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jc w:val="center"/>
        <w:rPr>
          <w:rFonts w:hint="eastAsia" w:ascii="方正小标宋简体" w:hAnsi="方正小标宋简体" w:eastAsia="方正小标宋简体"/>
          <w:b/>
          <w:color w:val="FF0000"/>
          <w:w w:val="95"/>
          <w:kern w:val="0"/>
          <w:sz w:val="44"/>
          <w:szCs w:val="116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黑体"/>
          <w:b/>
          <w:color w:val="FF0000"/>
          <w:w w:val="95"/>
          <w:sz w:val="44"/>
          <w:szCs w:val="72"/>
        </w:rPr>
        <w:t>中国证券监督管理委员会广东监管局</w:t>
      </w:r>
    </w:p>
    <w:p>
      <w:pPr>
        <w:jc w:val="center"/>
        <w:rPr>
          <w:rFonts w:hint="eastAsia" w:ascii="方正小标宋简体" w:hAnsi="方正小标宋简体" w:eastAsia="方正小标宋简体"/>
          <w:snapToGrid w:val="0"/>
          <w:spacing w:val="85"/>
          <w:w w:val="90"/>
          <w:sz w:val="72"/>
          <w:szCs w:val="72"/>
        </w:rPr>
      </w:pPr>
      <w:r>
        <w:rPr>
          <w:rFonts w:hint="eastAsia" w:ascii="方正小标宋简体" w:hAnsi="方正小标宋简体" w:eastAsia="方正小标宋简体"/>
          <w:b/>
          <w:bCs/>
          <w:snapToGrid w:val="0"/>
          <w:color w:val="FF0000"/>
          <w:spacing w:val="85"/>
          <w:w w:val="90"/>
          <w:sz w:val="72"/>
          <w:szCs w:val="72"/>
        </w:rPr>
        <w:t>行政监管措施决定书</w:t>
      </w:r>
    </w:p>
    <w:p>
      <w:pPr>
        <w:snapToGrid w:val="0"/>
        <w:jc w:val="center"/>
        <w:rPr>
          <w:rFonts w:hint="eastAsia" w:ascii="仿宋_GB2312" w:hAnsi="仿宋_GB2312" w:eastAsia="仿宋_GB2312" w:cs="宋体"/>
          <w:sz w:val="40"/>
          <w:szCs w:val="40"/>
        </w:rPr>
      </w:pPr>
    </w:p>
    <w:p>
      <w:pPr>
        <w:snapToGrid w:val="0"/>
        <w:spacing w:before="156" w:beforeLines="50" w:line="300" w:lineRule="auto"/>
        <w:jc w:val="center"/>
        <w:rPr>
          <w:rFonts w:ascii="黑体" w:hAnsi="Times New Roman" w:eastAsia="黑体" w:cs="Times New Roman"/>
          <w:color w:val="000000"/>
          <w:spacing w:val="12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〔20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lang w:val="en-US" w:eastAsia="zh-CN"/>
        </w:rPr>
        <w:t>2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〕</w:t>
      </w:r>
      <w:r>
        <w:rPr>
          <w:rFonts w:hint="default" w:ascii="仿宋_GB2312" w:hAnsi="Times New Roman" w:eastAsia="仿宋_GB2312" w:cs="Times New Roman"/>
          <w:color w:val="000000"/>
          <w:spacing w:val="12"/>
          <w:sz w:val="28"/>
          <w:lang w:val="en-US"/>
        </w:rPr>
        <w:t>197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号</w:t>
      </w:r>
    </w:p>
    <w:p>
      <w:pPr>
        <w:snapToGrid w:val="0"/>
        <w:jc w:val="center"/>
        <w:rPr>
          <w:rFonts w:hint="eastAsia" w:ascii="仿宋_GB2312" w:hAns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128905</wp:posOffset>
                </wp:positionV>
                <wp:extent cx="555180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80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5pt;margin-top:10.15pt;height:0.05pt;width:437.15pt;z-index:251659264;mso-width-relative:page;mso-height-relative:page;" filled="f" stroked="t" coordsize="21600,21600" o:gfxdata="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DML7WS1gAAAAgBAAAPAAAAAAAAAAEAIAAAADgAAABkcnMvZG93bnJldi54bWxQ&#10;SwECFAAUAAAACACHTuJAIhmvX+MBAACqAwAADgAAAAAAAAABACAAAAA7AQAAZHJzL2Uyb0RvYy54&#10;bWxQSwUGAAAAAAYABgBZAQAAkAUAAAAA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lang w:eastAsia="zh-CN"/>
        </w:rPr>
      </w:pPr>
      <w:bookmarkStart w:id="0" w:name="quanwen"/>
      <w:r>
        <w:rPr>
          <w:rFonts w:hint="eastAsia" w:ascii="方正小标宋简体" w:hAnsi="方正小标宋简体" w:eastAsia="方正小标宋简体" w:cs="方正小标宋简体"/>
          <w:spacing w:val="-6"/>
        </w:rPr>
        <w:t>关于对</w:t>
      </w:r>
      <w:r>
        <w:rPr>
          <w:rFonts w:hint="eastAsia" w:ascii="方正小标宋简体" w:hAnsi="方正小标宋简体" w:eastAsia="方正小标宋简体" w:cs="方正小标宋简体"/>
          <w:spacing w:val="-6"/>
          <w:lang w:eastAsia="zh-CN"/>
        </w:rPr>
        <w:t>广东易简投资有限公司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采取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责令改正</w:t>
      </w:r>
      <w:r>
        <w:rPr>
          <w:rFonts w:hint="eastAsia" w:ascii="方正小标宋简体" w:hAnsi="方正小标宋简体" w:eastAsia="方正小标宋简体" w:cs="方正小标宋简体"/>
          <w:sz w:val="44"/>
        </w:rPr>
        <w:t>措施的决定</w:t>
      </w:r>
    </w:p>
    <w:p>
      <w:pPr>
        <w:snapToGrid w:val="0"/>
        <w:spacing w:beforeLines="0" w:afterLines="0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textAlignment w:val="auto"/>
        <w:rPr>
          <w:rFonts w:hint="eastAsia" w:ascii="仿宋_GB2312" w:hAnsi="仿宋_GB2312" w:eastAsia="仿宋_GB2312" w:cs="仿宋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 w:cs="仿宋"/>
          <w:spacing w:val="0"/>
          <w:sz w:val="32"/>
          <w:szCs w:val="30"/>
          <w:lang w:eastAsia="zh-CN"/>
        </w:rPr>
        <w:t>广东易简投资有限公司</w:t>
      </w:r>
      <w:r>
        <w:rPr>
          <w:rFonts w:hint="eastAsia" w:ascii="仿宋_GB2312" w:hAnsi="仿宋_GB2312" w:eastAsia="仿宋_GB2312" w:cs="仿宋"/>
          <w:sz w:val="32"/>
          <w:szCs w:val="30"/>
          <w:lang w:val="en-US"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0"/>
          <w:sz w:val="32"/>
          <w:szCs w:val="32"/>
          <w:lang w:val="en-US" w:eastAsia="zh-CN"/>
        </w:rPr>
        <w:t>经查，你公司在开展私募投资基金管理业务活动期间，存在以下违规问题：</w:t>
      </w:r>
      <w:r>
        <w:rPr>
          <w:rFonts w:hint="eastAsia" w:ascii="仿宋_GB2312" w:hAnsi="宋体" w:eastAsia="仿宋_GB2312"/>
          <w:b/>
          <w:bCs/>
          <w:spacing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宋体" w:eastAsia="仿宋_GB2312"/>
          <w:b w:val="0"/>
          <w:bCs w:val="0"/>
          <w:spacing w:val="0"/>
          <w:sz w:val="32"/>
          <w:szCs w:val="32"/>
          <w:lang w:val="en-US" w:eastAsia="zh-CN"/>
        </w:rPr>
        <w:t>对部分投资者的适当性调查程序及风险评估认定不恰当；</w:t>
      </w:r>
      <w:r>
        <w:rPr>
          <w:rFonts w:hint="eastAsia" w:ascii="仿宋_GB2312" w:hAnsi="宋体" w:eastAsia="仿宋_GB2312"/>
          <w:b/>
          <w:bCs/>
          <w:spacing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宋体" w:eastAsia="仿宋_GB2312"/>
          <w:b w:val="0"/>
          <w:bCs w:val="0"/>
          <w:spacing w:val="0"/>
          <w:sz w:val="32"/>
          <w:szCs w:val="32"/>
          <w:lang w:val="en-US" w:eastAsia="zh-CN"/>
        </w:rPr>
        <w:t>对部分投资者未要求其提供必要的资产证明文件或收入证明；</w:t>
      </w:r>
      <w:r>
        <w:rPr>
          <w:rFonts w:hint="eastAsia" w:ascii="仿宋_GB2312" w:hAnsi="宋体" w:eastAsia="仿宋_GB2312"/>
          <w:b/>
          <w:bCs/>
          <w:spacing w:val="0"/>
          <w:sz w:val="32"/>
          <w:szCs w:val="32"/>
          <w:lang w:val="en-US" w:eastAsia="zh-CN"/>
        </w:rPr>
        <w:t>三是</w:t>
      </w:r>
      <w:r>
        <w:rPr>
          <w:rFonts w:hint="eastAsia" w:ascii="仿宋_GB2312" w:hAnsi="宋体" w:eastAsia="仿宋_GB2312"/>
          <w:b w:val="0"/>
          <w:bCs w:val="0"/>
          <w:spacing w:val="0"/>
          <w:sz w:val="32"/>
          <w:szCs w:val="32"/>
          <w:lang w:val="en-US" w:eastAsia="zh-CN"/>
        </w:rPr>
        <w:t>对个别私募基金进行的风险评级不恰当；</w:t>
      </w:r>
      <w:r>
        <w:rPr>
          <w:rFonts w:hint="eastAsia" w:ascii="仿宋_GB2312" w:hAnsi="宋体" w:eastAsia="仿宋_GB2312"/>
          <w:b/>
          <w:bCs/>
          <w:spacing w:val="0"/>
          <w:sz w:val="32"/>
          <w:szCs w:val="32"/>
          <w:lang w:val="en-US" w:eastAsia="zh-CN"/>
        </w:rPr>
        <w:t>四是</w:t>
      </w:r>
      <w:r>
        <w:rPr>
          <w:rFonts w:hint="eastAsia" w:ascii="仿宋_GB2312" w:hAnsi="宋体" w:eastAsia="仿宋_GB2312"/>
          <w:b w:val="0"/>
          <w:bCs w:val="0"/>
          <w:spacing w:val="0"/>
          <w:sz w:val="32"/>
          <w:szCs w:val="32"/>
          <w:lang w:val="en-US" w:eastAsia="zh-CN"/>
        </w:rPr>
        <w:t>对部分基金的投资者未如实披露可能影响投资者合法权益的信息；</w:t>
      </w:r>
      <w:r>
        <w:rPr>
          <w:rFonts w:hint="eastAsia" w:ascii="仿宋_GB2312" w:hAnsi="宋体" w:eastAsia="仿宋_GB2312"/>
          <w:b/>
          <w:bCs/>
          <w:spacing w:val="0"/>
          <w:sz w:val="32"/>
          <w:szCs w:val="32"/>
          <w:lang w:val="en-US" w:eastAsia="zh-CN"/>
        </w:rPr>
        <w:t>五是</w:t>
      </w:r>
      <w:r>
        <w:rPr>
          <w:rFonts w:hint="eastAsia" w:ascii="仿宋_GB2312" w:hAnsi="宋体" w:eastAsia="仿宋_GB2312"/>
          <w:b w:val="0"/>
          <w:bCs w:val="0"/>
          <w:spacing w:val="0"/>
          <w:sz w:val="32"/>
          <w:szCs w:val="32"/>
          <w:lang w:val="en-US" w:eastAsia="zh-CN"/>
        </w:rPr>
        <w:t>未按规定保存投资决策相关资料。</w:t>
      </w:r>
      <w:r>
        <w:rPr>
          <w:rFonts w:hint="eastAsia" w:ascii="仿宋_GB2312" w:hAnsi="宋体" w:eastAsia="仿宋_GB2312"/>
          <w:spacing w:val="0"/>
          <w:sz w:val="32"/>
          <w:szCs w:val="32"/>
          <w:lang w:val="en-US" w:eastAsia="zh-CN"/>
        </w:rPr>
        <w:t>上述行为违反了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《私募投资基金监督管理暂行办法》（证监会令第</w:t>
      </w:r>
      <w:r>
        <w:rPr>
          <w:rFonts w:hint="eastAsia" w:ascii="仿宋_GB2312" w:hAnsi="仿宋_GB2312" w:eastAsia="仿宋_GB2312" w:cs="仿宋_GB2312"/>
          <w:spacing w:val="0"/>
          <w:sz w:val="32"/>
          <w:lang w:val="en-US" w:eastAsia="zh-CN"/>
        </w:rPr>
        <w:t>105号，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以</w:t>
      </w:r>
      <w:r>
        <w:rPr>
          <w:rFonts w:hint="eastAsia" w:ascii="仿宋_GB2312" w:hAnsi="宋体" w:eastAsia="仿宋_GB2312" w:cs="Times New Roman"/>
          <w:spacing w:val="0"/>
          <w:sz w:val="32"/>
          <w:szCs w:val="32"/>
          <w:lang w:eastAsia="zh-CN"/>
        </w:rPr>
        <w:t>下简称《私募办法》）</w:t>
      </w:r>
      <w:r>
        <w:rPr>
          <w:rFonts w:hint="eastAsia" w:ascii="仿宋_GB2312" w:hAnsi="宋体" w:eastAsia="仿宋_GB2312" w:cs="Times New Roman"/>
          <w:spacing w:val="0"/>
          <w:sz w:val="32"/>
          <w:szCs w:val="32"/>
          <w:lang w:val="en" w:eastAsia="zh-CN"/>
        </w:rPr>
        <w:t>第二十四</w:t>
      </w:r>
      <w:r>
        <w:rPr>
          <w:rFonts w:hint="default" w:ascii="仿宋_GB2312" w:hAnsi="宋体" w:eastAsia="仿宋_GB2312" w:cs="Times New Roman"/>
          <w:spacing w:val="0"/>
          <w:sz w:val="32"/>
          <w:szCs w:val="32"/>
          <w:lang w:val="en" w:eastAsia="zh-CN"/>
        </w:rPr>
        <w:t>条</w:t>
      </w:r>
      <w:r>
        <w:rPr>
          <w:rFonts w:hint="eastAsia" w:ascii="仿宋_GB2312" w:hAnsi="宋体" w:eastAsia="仿宋_GB2312" w:cs="Times New Roman"/>
          <w:spacing w:val="0"/>
          <w:sz w:val="32"/>
          <w:szCs w:val="32"/>
          <w:lang w:eastAsia="zh-CN"/>
        </w:rPr>
        <w:t>、第二十六条和</w:t>
      </w:r>
      <w:r>
        <w:rPr>
          <w:rFonts w:hint="eastAsia" w:ascii="仿宋_GB2312" w:hAnsi="宋体" w:eastAsia="仿宋_GB2312"/>
          <w:spacing w:val="0"/>
          <w:sz w:val="32"/>
          <w:szCs w:val="32"/>
          <w:lang w:val="en-US" w:eastAsia="zh-CN"/>
        </w:rPr>
        <w:t>《证券期货投资者适当性管理办法》（证监会令第130号、证监会令第202号修正，以下简称《适当性办法》）第六条第</w:t>
      </w:r>
      <w:r>
        <w:rPr>
          <w:rFonts w:hint="eastAsia" w:ascii="仿宋_GB2312" w:hAnsi="宋体" w:eastAsia="仿宋_GB2312"/>
          <w:spacing w:val="0"/>
          <w:sz w:val="32"/>
          <w:szCs w:val="32"/>
          <w:highlight w:val="none"/>
          <w:lang w:val="en-US" w:eastAsia="zh-CN"/>
        </w:rPr>
        <w:t>二项、第十七条第三项</w:t>
      </w:r>
      <w:r>
        <w:rPr>
          <w:rFonts w:hint="eastAsia" w:ascii="仿宋_GB2312" w:hAnsi="宋体" w:eastAsia="仿宋_GB2312"/>
          <w:spacing w:val="0"/>
          <w:sz w:val="32"/>
          <w:szCs w:val="32"/>
          <w:lang w:val="en-US" w:eastAsia="zh-CN"/>
        </w:rPr>
        <w:t>、第二十九条第一款的规定</w:t>
      </w:r>
      <w:r>
        <w:rPr>
          <w:rFonts w:hint="eastAsia" w:ascii="仿宋_GB2312" w:hAnsi="宋体" w:eastAsia="仿宋_GB2312" w:cs="Times New Roman"/>
          <w:spacing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0"/>
          <w:lang w:val="en-US" w:eastAsia="zh-CN"/>
        </w:rPr>
        <w:t>根据《私募办法》第三十三条和《适当性办法》第三十七条</w:t>
      </w:r>
      <w:r>
        <w:rPr>
          <w:rFonts w:hint="eastAsia" w:ascii="仿宋_GB2312" w:hAnsi="仿宋_GB2312" w:eastAsia="仿宋_GB2312" w:cs="仿宋"/>
          <w:color w:val="auto"/>
          <w:sz w:val="32"/>
          <w:szCs w:val="30"/>
          <w:highlight w:val="none"/>
          <w:lang w:val="en-US" w:eastAsia="zh-CN"/>
        </w:rPr>
        <w:t>的规定，我局决定对你公司采取责令改正的行政监管措施</w:t>
      </w:r>
      <w:r>
        <w:rPr>
          <w:rFonts w:hint="eastAsia" w:ascii="仿宋_GB2312" w:hAnsi="仿宋_GB2312" w:eastAsia="仿宋_GB2312" w:cs="仿宋"/>
          <w:color w:val="auto"/>
          <w:sz w:val="32"/>
          <w:szCs w:val="30"/>
          <w:lang w:val="en-US" w:eastAsia="zh-CN"/>
        </w:rPr>
        <w:t>。你公司应高度重视，采取切实有效的措施，对存在的问题进行整改，对相关责任人员进行问责，并在收到本决定书之日起30日内向我局提交书面整改报告。</w:t>
      </w:r>
    </w:p>
    <w:p>
      <w:pPr>
        <w:overflowPunct w:val="0"/>
        <w:adjustRightInd w:val="0"/>
        <w:snapToGrid w:val="0"/>
        <w:spacing w:beforeLines="0" w:afterLines="0" w:line="336" w:lineRule="auto"/>
        <w:ind w:firstLine="640" w:firstLineChars="200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</w:rPr>
        <w:t>如果对本监督管理措施不服，可以在收到本决定书之日起60日内向中国证券监督管理委员会提出行政复议申请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</w:rPr>
        <w:t>也可以在收到本决定书之日起6个月内向有管辖权的人民法院提起诉讼。复议与诉讼期间，上述监督管理措施不停止执行。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overflowPunct w:val="0"/>
        <w:adjustRightInd w:val="0"/>
        <w:snapToGrid w:val="0"/>
        <w:spacing w:line="360" w:lineRule="auto"/>
        <w:ind w:right="1705"/>
        <w:jc w:val="right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广东证监局</w:t>
      </w:r>
    </w:p>
    <w:p>
      <w:pPr>
        <w:widowControl/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overflowPunct w:val="0"/>
        <w:adjustRightInd w:val="0"/>
        <w:snapToGrid w:val="0"/>
        <w:spacing w:beforeLines="0" w:afterLines="0" w:line="360" w:lineRule="auto"/>
        <w:jc w:val="center"/>
        <w:outlineLvl w:val="9"/>
      </w:pPr>
      <w:r>
        <w:rPr>
          <w:rFonts w:hint="eastAsia" w:ascii="仿宋_GB2312" w:hAnsi="Times New Roman" w:eastAsia="仿宋_GB2312" w:cs="Times New Roman"/>
          <w:color w:val="000000"/>
          <w:spacing w:val="1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024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年</w:t>
      </w:r>
      <w:r>
        <w:rPr>
          <w:rFonts w:hint="eastAsia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1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月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22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日</w:t>
      </w:r>
    </w:p>
    <w:p>
      <w:pPr>
        <w:snapToGrid w:val="0"/>
        <w:spacing w:line="360" w:lineRule="auto"/>
        <w:rPr>
          <w:rFonts w:hint="eastAsia" w:ascii="仿宋_GB2312" w:hAnsi="仿宋_GB2312" w:cs="仿宋_GB2312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hAnsi="仿宋_GB2312" w:cs="仿宋_GB2312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hAnsi="仿宋_GB2312" w:cs="仿宋_GB2312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 w:cs="Times New Roman"/>
          <w:spacing w:val="8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8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296" w:firstLineChars="100"/>
        <w:textAlignment w:val="auto"/>
        <w:rPr>
          <w:rFonts w:hint="eastAsia" w:ascii="仿宋_GB2312" w:eastAsia="仿宋_GB2312"/>
          <w:spacing w:val="8"/>
          <w:sz w:val="28"/>
          <w:lang w:val="en-US" w:eastAsia="zh-CN"/>
        </w:rPr>
      </w:pPr>
      <w:r>
        <w:rPr>
          <w:rFonts w:hint="eastAsia" w:ascii="仿宋_GB2312" w:eastAsia="仿宋_GB2312"/>
          <w:spacing w:val="8"/>
          <w:sz w:val="28"/>
        </w:rPr>
        <w:t>抄送：证监会市场二司、法治司；中国证券投资基金业协会</w:t>
      </w:r>
      <w:r>
        <w:rPr>
          <w:rFonts w:hint="eastAsia" w:ascii="仿宋_GB2312" w:eastAsia="仿宋_GB2312"/>
          <w:spacing w:val="8"/>
          <w:sz w:val="28"/>
          <w:lang w:eastAsia="zh-CN"/>
        </w:rPr>
        <w:t>。</w:t>
      </w:r>
    </w:p>
    <w:p>
      <w:pPr>
        <w:pBdr>
          <w:top w:val="single" w:color="auto" w:sz="4" w:space="6"/>
        </w:pBdr>
        <w:adjustRightInd w:val="0"/>
        <w:snapToGrid w:val="0"/>
        <w:spacing w:after="109" w:afterLines="35"/>
        <w:ind w:firstLine="318"/>
        <w:jc w:val="left"/>
        <w:rPr>
          <w:rFonts w:hint="eastAsia" w:ascii="仿宋_GB2312" w:eastAsia="仿宋_GB2312"/>
          <w:spacing w:val="8"/>
          <w:sz w:val="28"/>
        </w:rPr>
      </w:pPr>
      <w:r>
        <w:rPr>
          <w:rFonts w:hint="eastAsia" w:ascii="仿宋_GB2312" w:eastAsia="仿宋_GB2312"/>
          <w:spacing w:val="8"/>
          <w:sz w:val="28"/>
        </w:rPr>
        <w:t xml:space="preserve">广东证监局办公室              </w:t>
      </w:r>
      <w:r>
        <w:rPr>
          <w:rFonts w:hint="default" w:ascii="仿宋_GB2312" w:eastAsia="仿宋_GB2312"/>
          <w:spacing w:val="8"/>
          <w:sz w:val="28"/>
          <w:lang w:val="en-US"/>
        </w:rPr>
        <w:t xml:space="preserve">   </w:t>
      </w:r>
      <w:r>
        <w:rPr>
          <w:rFonts w:hint="eastAsia" w:ascii="仿宋_GB2312" w:eastAsia="仿宋_GB2312"/>
          <w:spacing w:val="8"/>
          <w:sz w:val="28"/>
        </w:rPr>
        <w:t xml:space="preserve"> </w:t>
      </w:r>
      <w:r>
        <w:rPr>
          <w:rFonts w:hint="default" w:ascii="仿宋_GB2312" w:eastAsia="仿宋_GB2312"/>
          <w:spacing w:val="8"/>
          <w:sz w:val="28"/>
          <w:lang w:val="en" w:eastAsia="zh-CN"/>
        </w:rPr>
        <w:t>202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>4</w:t>
      </w:r>
      <w:r>
        <w:rPr>
          <w:rFonts w:hint="eastAsia" w:ascii="仿宋_GB2312" w:eastAsia="仿宋_GB2312"/>
          <w:spacing w:val="8"/>
          <w:sz w:val="28"/>
        </w:rPr>
        <w:t>年</w:t>
      </w:r>
      <w:r>
        <w:rPr>
          <w:rFonts w:hint="default" w:ascii="仿宋_GB2312" w:eastAsia="仿宋_GB2312"/>
          <w:spacing w:val="8"/>
          <w:sz w:val="28"/>
          <w:lang w:val="en-US"/>
        </w:rPr>
        <w:t>1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>1</w:t>
      </w:r>
      <w:r>
        <w:rPr>
          <w:rFonts w:hint="eastAsia" w:ascii="仿宋_GB2312" w:eastAsia="仿宋_GB2312"/>
          <w:spacing w:val="8"/>
          <w:sz w:val="28"/>
        </w:rPr>
        <w:t>月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>25</w:t>
      </w:r>
      <w:r>
        <w:rPr>
          <w:rFonts w:hint="eastAsia" w:ascii="仿宋_GB2312" w:eastAsia="仿宋_GB2312"/>
          <w:spacing w:val="8"/>
          <w:sz w:val="28"/>
        </w:rPr>
        <w:t>日印发</w:t>
      </w:r>
    </w:p>
    <w:p>
      <w:pPr>
        <w:pBdr>
          <w:top w:val="single" w:color="auto" w:sz="8" w:space="7"/>
        </w:pBdr>
        <w:overflowPunct w:val="0"/>
        <w:adjustRightInd w:val="0"/>
        <w:snapToGrid w:val="0"/>
        <w:spacing w:beforeLines="0" w:after="0" w:afterLines="0"/>
        <w:ind w:firstLine="0"/>
        <w:jc w:val="left"/>
        <w:rPr>
          <w:rFonts w:hint="eastAsia" w:ascii="仿宋_GB2312" w:eastAsia="仿宋_GB2312"/>
          <w:spacing w:val="8"/>
          <w:sz w:val="2"/>
          <w:szCs w:val="2"/>
        </w:rPr>
      </w:pPr>
    </w:p>
    <w:bookmarkEnd w:id="0"/>
    <w:p>
      <w:pPr>
        <w:snapToGrid w:val="0"/>
        <w:spacing w:beforeLines="0" w:afterLines="0"/>
        <w:rPr>
          <w:sz w:val="2"/>
          <w:szCs w:val="2"/>
        </w:rPr>
      </w:pPr>
    </w:p>
    <w:sectPr>
      <w:headerReference r:id="rId3" w:type="default"/>
      <w:footerReference r:id="rId4" w:type="default"/>
      <w:pgSz w:w="11906" w:h="16838"/>
      <w:pgMar w:top="2097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7EA93"/>
    <w:rsid w:val="1FFB5DC6"/>
    <w:rsid w:val="3BCD49B8"/>
    <w:rsid w:val="5D6B8AA6"/>
    <w:rsid w:val="6FFD0B6E"/>
    <w:rsid w:val="77FFB574"/>
    <w:rsid w:val="7CF7C936"/>
    <w:rsid w:val="7D3DECA5"/>
    <w:rsid w:val="7E67EA93"/>
    <w:rsid w:val="7FFF9C11"/>
    <w:rsid w:val="C77FBFD9"/>
    <w:rsid w:val="D7E6A9C2"/>
    <w:rsid w:val="EF1D1124"/>
    <w:rsid w:val="F4FB5235"/>
    <w:rsid w:val="F85FDB8A"/>
    <w:rsid w:val="FBFFBEE2"/>
    <w:rsid w:val="FE7F3E40"/>
    <w:rsid w:val="FEFF752A"/>
    <w:rsid w:val="FF6FD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spacing w:line="240" w:lineRule="auto"/>
      <w:ind w:firstLine="420"/>
      <w:jc w:val="both"/>
      <w:textAlignment w:val="baseline"/>
    </w:pPr>
    <w:rPr>
      <w:rFonts w:ascii="宋体" w:hAnsi="Calibri"/>
      <w:kern w:val="0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jc w:val="center"/>
    </w:pPr>
    <w:rPr>
      <w:rFonts w:eastAsia="黑体"/>
      <w:kern w:val="0"/>
      <w:sz w:val="44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10">
    <w:name w:val="Char Char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2024-11-16T21:54:00Z</dcterms:created>
  <dc:creator>聂国栋：处室相关人员阅办</dc:creator>
  <cp:lastModifiedBy>聂国栋</cp:lastModifiedBy>
  <dcterms:modified xsi:type="dcterms:W3CDTF">2024-11-29T10:09:02Z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3AE6FAC7D1B07372BE6C456771494907</vt:lpwstr>
  </property>
</Properties>
</file>