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28"/>
          <w:szCs w:val="28"/>
        </w:rPr>
      </w:pPr>
    </w:p>
    <w:p>
      <w:pPr>
        <w:snapToGrid w:val="0"/>
        <w:spacing w:before="156" w:beforeLines="50" w:line="300" w:lineRule="auto"/>
        <w:jc w:val="center"/>
        <w:rPr>
          <w:rFonts w:ascii="黑体" w:hAnsi="Times New Roman" w:eastAsia="黑体" w:cs="Times New Roman"/>
          <w:color w:val="000000"/>
          <w:spacing w:val="12"/>
          <w:sz w:val="32"/>
        </w:rPr>
      </w:pPr>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default" w:ascii="仿宋_GB2312" w:eastAsia="仿宋_GB2312" w:cs="Times New Roman"/>
          <w:color w:val="000000"/>
          <w:spacing w:val="12"/>
          <w:sz w:val="28"/>
          <w:lang w:val="en-US" w:eastAsia="zh-CN"/>
        </w:rPr>
        <w:t>4</w:t>
      </w:r>
      <w:r>
        <w:rPr>
          <w:rFonts w:hint="eastAsia" w:ascii="仿宋_GB2312" w:hAnsi="Times New Roman" w:eastAsia="仿宋_GB2312" w:cs="Times New Roman"/>
          <w:color w:val="000000"/>
          <w:spacing w:val="12"/>
          <w:sz w:val="28"/>
        </w:rPr>
        <w:t>〕</w:t>
      </w:r>
      <w:r>
        <w:rPr>
          <w:rFonts w:hint="default" w:ascii="仿宋_GB2312" w:hAnsi="Times New Roman" w:eastAsia="仿宋_GB2312" w:cs="Times New Roman"/>
          <w:color w:val="000000"/>
          <w:spacing w:val="12"/>
          <w:sz w:val="28"/>
          <w:lang w:val="en-US"/>
        </w:rPr>
        <w:t>194</w:t>
      </w:r>
      <w:r>
        <w:rPr>
          <w:rFonts w:hint="eastAsia" w:ascii="仿宋_GB2312" w:hAnsi="Times New Roman" w:eastAsia="仿宋_GB2312" w:cs="Times New Roman"/>
          <w:color w:val="000000"/>
          <w:spacing w:val="12"/>
          <w:sz w:val="28"/>
        </w:rPr>
        <w:t>号</w:t>
      </w:r>
    </w:p>
    <w:p>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MwvtZLWAAAA&#10;CAEAAA8AAAAAAAAAAQAgAAAAOAAAAGRycy9kb3ducmV2LnhtbFBLAQIUABQAAAAIAIdO4kAV8uZj&#10;/QEAAPUDAAAOAAAAAAAAAAEAIAAAADsBAABkcnMvZTJvRG9jLnhtbFBLAQIUAAoAAAAAAIdO4kAA&#10;AAAAAAAAAAAAAAAEAAAAAAAAAAAAEAAAABYAAABkcnMvUEsBAhQACgAAAAAAh07iQAAAAAAAAAAA&#10;AAAAAAYAAAAAAAAAAAAQAAAAZAMAAF9yZWxzL1BLBQYAAAAABgAGAFkBAACqBQAAAAA=&#10;">
                <v:fill on="f" focussize="0,0"/>
                <v:stroke weight="1pt" color="#FF0000" joinstyle="round"/>
                <v:imagedata o:title=""/>
                <o:lock v:ext="edit" aspectratio="f"/>
              </v:line>
            </w:pict>
          </mc:Fallback>
        </mc:AlternateContent>
      </w:r>
    </w:p>
    <w:p>
      <w:pPr>
        <w:jc w:val="center"/>
        <w:rPr>
          <w:rFonts w:hint="eastAsia"/>
          <w:sz w:val="28"/>
          <w:szCs w:val="28"/>
        </w:rPr>
      </w:pPr>
    </w:p>
    <w:p>
      <w:pPr>
        <w:overflowPunct w:val="0"/>
        <w:snapToGrid w:val="0"/>
        <w:spacing w:beforeLines="0" w:afterLines="0" w:line="240" w:lineRule="auto"/>
        <w:ind w:left="0" w:leftChars="0" w:right="0" w:rightChars="0" w:firstLine="0" w:firstLineChars="0"/>
        <w:jc w:val="center"/>
        <w:rPr>
          <w:rFonts w:hint="eastAsia" w:ascii="方正小标宋简体" w:hAnsi="方正小标宋简体" w:eastAsia="方正小标宋简体" w:cs="方正小标宋简体"/>
          <w:color w:val="000000"/>
          <w:sz w:val="44"/>
          <w:lang w:eastAsia="zh-CN"/>
        </w:rPr>
      </w:pPr>
      <w:bookmarkStart w:id="0" w:name="quanwen"/>
      <w:r>
        <w:rPr>
          <w:rFonts w:hint="eastAsia" w:ascii="方正小标宋简体" w:hAnsi="方正小标宋简体" w:eastAsia="方正小标宋简体" w:cs="方正小标宋简体"/>
          <w:color w:val="000000"/>
          <w:sz w:val="44"/>
          <w:lang w:eastAsia="zh-CN"/>
        </w:rPr>
        <w:t>关于对广东博众智能科技投资有限公司</w:t>
      </w:r>
    </w:p>
    <w:p>
      <w:pPr>
        <w:overflowPunct w:val="0"/>
        <w:snapToGrid w:val="0"/>
        <w:spacing w:beforeLines="0" w:afterLines="0" w:line="240" w:lineRule="auto"/>
        <w:ind w:left="0" w:leftChars="0" w:right="0" w:rightChars="0" w:firstLine="0" w:firstLineChars="0"/>
        <w:jc w:val="center"/>
        <w:rPr>
          <w:rFonts w:hint="eastAsia" w:ascii="方正小标宋简体" w:hAnsi="方正小标宋简体" w:eastAsia="方正小标宋简体" w:cs="方正小标宋简体"/>
          <w:color w:val="000000"/>
          <w:sz w:val="44"/>
          <w:lang w:eastAsia="zh-CN"/>
        </w:rPr>
      </w:pPr>
      <w:r>
        <w:rPr>
          <w:rFonts w:hint="eastAsia" w:ascii="方正小标宋简体" w:hAnsi="方正小标宋简体" w:eastAsia="方正小标宋简体" w:cs="方正小标宋简体"/>
          <w:color w:val="000000"/>
          <w:sz w:val="44"/>
          <w:lang w:eastAsia="zh-CN"/>
        </w:rPr>
        <w:t>采取责令增加内部合规检查次数并提交</w:t>
      </w:r>
    </w:p>
    <w:p>
      <w:pPr>
        <w:overflowPunct w:val="0"/>
        <w:snapToGrid w:val="0"/>
        <w:spacing w:beforeLines="0" w:afterLines="0"/>
        <w:ind w:left="0" w:leftChars="0" w:right="0" w:rightChars="0" w:firstLine="0" w:firstLineChars="0"/>
        <w:jc w:val="center"/>
        <w:rPr>
          <w:rFonts w:hint="eastAsia" w:ascii="方正小标宋简体" w:hAnsi="方正小标宋简体" w:eastAsia="方正小标宋简体" w:cs="方正小标宋简体"/>
          <w:sz w:val="44"/>
          <w:lang w:eastAsia="zh-CN"/>
        </w:rPr>
      </w:pPr>
      <w:r>
        <w:rPr>
          <w:rFonts w:hint="eastAsia" w:ascii="方正小标宋简体" w:hAnsi="方正小标宋简体" w:eastAsia="方正小标宋简体" w:cs="方正小标宋简体"/>
          <w:color w:val="000000"/>
          <w:sz w:val="44"/>
          <w:lang w:eastAsia="zh-CN"/>
        </w:rPr>
        <w:t>合规检查报告措施的决定</w:t>
      </w:r>
    </w:p>
    <w:p>
      <w:pPr>
        <w:pStyle w:val="8"/>
        <w:widowControl w:val="0"/>
        <w:overflowPunct w:val="0"/>
        <w:autoSpaceDN/>
        <w:snapToGrid w:val="0"/>
        <w:spacing w:beforeLines="0" w:afterLines="0" w:line="240" w:lineRule="auto"/>
        <w:rPr>
          <w:rFonts w:hint="eastAsia" w:ascii="方正小标宋简体" w:hAnsi="方正小标宋简体" w:eastAsia="方正小标宋简体" w:cs="方正小标宋简体"/>
          <w:color w:val="000000"/>
          <w:sz w:val="32"/>
          <w:szCs w:val="32"/>
        </w:rPr>
      </w:pPr>
    </w:p>
    <w:p>
      <w:pPr>
        <w:pStyle w:val="8"/>
        <w:keepNext w:val="0"/>
        <w:keepLines w:val="0"/>
        <w:pageBreakBefore w:val="0"/>
        <w:widowControl w:val="0"/>
        <w:kinsoku/>
        <w:wordWrap/>
        <w:overflowPunct w:val="0"/>
        <w:topLinePunct w:val="0"/>
        <w:autoSpaceDE/>
        <w:autoSpaceDN/>
        <w:bidi w:val="0"/>
        <w:adjustRightInd w:val="0"/>
        <w:snapToGrid w:val="0"/>
        <w:spacing w:before="0" w:beforeLines="0" w:after="0" w:afterLines="0" w:line="312" w:lineRule="auto"/>
        <w:ind w:left="0" w:leftChars="0" w:right="0" w:rightChars="0"/>
        <w:jc w:val="both"/>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广东博众智能科技投资有限公司</w:t>
      </w:r>
      <w:r>
        <w:rPr>
          <w:rFonts w:hint="eastAsia" w:ascii="仿宋_GB2312" w:hAns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val="0"/>
        <w:topLinePunct w:val="0"/>
        <w:autoSpaceDE/>
        <w:bidi w:val="0"/>
        <w:adjustRightInd w:val="0"/>
        <w:snapToGrid w:val="0"/>
        <w:spacing w:before="0" w:beforeLines="0" w:after="0" w:afterLines="0" w:line="312" w:lineRule="auto"/>
        <w:ind w:left="0" w:leftChars="0" w:right="0" w:rightChars="0" w:firstLine="640"/>
        <w:jc w:val="both"/>
        <w:textAlignment w:val="auto"/>
        <w:outlineLvl w:val="0"/>
        <w:rPr>
          <w:rFonts w:hint="eastAsia"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olor w:val="000000" w:themeColor="text1"/>
          <w:kern w:val="0"/>
          <w:sz w:val="32"/>
          <w:szCs w:val="32"/>
          <w14:textFill>
            <w14:solidFill>
              <w14:schemeClr w14:val="tx1"/>
            </w14:solidFill>
          </w14:textFill>
        </w:rPr>
        <w:t>经查，我局发现你</w:t>
      </w:r>
      <w:r>
        <w:rPr>
          <w:rFonts w:hint="eastAsia" w:ascii="仿宋_GB2312" w:hAnsi="仿宋_GB2312" w:eastAsia="仿宋_GB2312"/>
          <w:color w:val="000000" w:themeColor="text1"/>
          <w:kern w:val="0"/>
          <w:sz w:val="32"/>
          <w:szCs w:val="32"/>
          <w:lang w:eastAsia="zh-CN"/>
          <w14:textFill>
            <w14:solidFill>
              <w14:schemeClr w14:val="tx1"/>
            </w14:solidFill>
          </w14:textFill>
        </w:rPr>
        <w:t>公司</w:t>
      </w:r>
      <w:r>
        <w:rPr>
          <w:rFonts w:hint="eastAsia" w:ascii="仿宋_GB2312" w:hAnsi="仿宋_GB2312" w:eastAsia="仿宋_GB2312"/>
          <w:color w:val="000000" w:themeColor="text1"/>
          <w:kern w:val="0"/>
          <w:sz w:val="32"/>
          <w:szCs w:val="32"/>
          <w14:textFill>
            <w14:solidFill>
              <w14:schemeClr w14:val="tx1"/>
            </w14:solidFill>
          </w14:textFill>
        </w:rPr>
        <w:t>存在以下违</w:t>
      </w:r>
      <w:r>
        <w:rPr>
          <w:rFonts w:hint="eastAsia" w:ascii="仿宋_GB2312" w:hAnsi="仿宋_GB2312" w:eastAsia="仿宋_GB2312"/>
          <w:color w:val="000000" w:themeColor="text1"/>
          <w:kern w:val="0"/>
          <w:sz w:val="32"/>
          <w:szCs w:val="32"/>
          <w:lang w:eastAsia="zh-CN"/>
          <w14:textFill>
            <w14:solidFill>
              <w14:schemeClr w14:val="tx1"/>
            </w14:solidFill>
          </w14:textFill>
        </w:rPr>
        <w:t>规</w:t>
      </w:r>
      <w:r>
        <w:rPr>
          <w:rFonts w:hint="eastAsia" w:ascii="仿宋_GB2312" w:hAnsi="仿宋_GB2312" w:eastAsia="仿宋_GB2312"/>
          <w:color w:val="000000" w:themeColor="text1"/>
          <w:kern w:val="0"/>
          <w:sz w:val="32"/>
          <w:szCs w:val="32"/>
          <w14:textFill>
            <w14:solidFill>
              <w14:schemeClr w14:val="tx1"/>
            </w14:solidFill>
          </w14:textFill>
        </w:rPr>
        <w:t>行为</w:t>
      </w:r>
      <w:r>
        <w:rPr>
          <w:rFonts w:hint="eastAsia" w:ascii="仿宋_GB2312" w:hAnsi="仿宋_GB2312" w:eastAsia="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b/>
          <w:bCs/>
          <w:color w:val="000000" w:themeColor="text1"/>
          <w:kern w:val="0"/>
          <w:sz w:val="32"/>
          <w:szCs w:val="32"/>
          <w:lang w:eastAsia="zh-CN"/>
          <w14:textFill>
            <w14:solidFill>
              <w14:schemeClr w14:val="tx1"/>
            </w14:solidFill>
          </w14:textFill>
        </w:rPr>
        <w:t>一是</w:t>
      </w:r>
      <w:r>
        <w:rPr>
          <w:rFonts w:hint="eastAsia" w:ascii="仿宋_GB2312" w:hAnsi="仿宋_GB2312" w:eastAsia="仿宋_GB2312"/>
          <w:color w:val="000000" w:themeColor="text1"/>
          <w:kern w:val="0"/>
          <w:sz w:val="32"/>
          <w:szCs w:val="32"/>
          <w:lang w:eastAsia="zh-CN"/>
          <w14:textFill>
            <w14:solidFill>
              <w14:schemeClr w14:val="tx1"/>
            </w14:solidFill>
          </w14:textFill>
        </w:rPr>
        <w:t>展业过程中存在</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误导性营销</w:t>
      </w:r>
      <w:r>
        <w:rPr>
          <w:rFonts w:hint="eastAsia" w:ascii="仿宋_GB2312" w:hAnsi="仿宋_GB2312" w:eastAsia="仿宋_GB2312"/>
          <w:color w:val="000000" w:themeColor="text1"/>
          <w:kern w:val="0"/>
          <w:sz w:val="32"/>
          <w:szCs w:val="32"/>
          <w:lang w:eastAsia="zh-CN"/>
          <w14:textFill>
            <w14:solidFill>
              <w14:schemeClr w14:val="tx1"/>
            </w14:solidFill>
          </w14:textFill>
        </w:rPr>
        <w:t>行为。</w:t>
      </w:r>
      <w:r>
        <w:rPr>
          <w:rFonts w:hint="eastAsia" w:ascii="仿宋_GB2312" w:hAnsi="仿宋_GB2312" w:eastAsia="仿宋_GB2312"/>
          <w:b/>
          <w:bCs/>
          <w:color w:val="000000" w:themeColor="text1"/>
          <w:kern w:val="0"/>
          <w:sz w:val="32"/>
          <w:szCs w:val="32"/>
          <w:lang w:eastAsia="zh-CN"/>
          <w14:textFill>
            <w14:solidFill>
              <w14:schemeClr w14:val="tx1"/>
            </w14:solidFill>
          </w14:textFill>
        </w:rPr>
        <w:t>二是</w:t>
      </w:r>
      <w:r>
        <w:rPr>
          <w:rFonts w:hint="default" w:ascii="仿宋_GB2312" w:hAnsi="仿宋_GB2312" w:eastAsia="仿宋_GB2312"/>
          <w:color w:val="000000" w:themeColor="text1"/>
          <w:kern w:val="0"/>
          <w:sz w:val="32"/>
          <w:szCs w:val="32"/>
          <w:lang w:val="en" w:eastAsia="zh-CN"/>
          <w14:textFill>
            <w14:solidFill>
              <w14:schemeClr w14:val="tx1"/>
            </w14:solidFill>
          </w14:textFill>
        </w:rPr>
        <w:t>未在评估客户风险承受能力和服务需求的基础上向客户提供适当的投资建议服务</w:t>
      </w:r>
      <w:r>
        <w:rPr>
          <w:rFonts w:hint="eastAsia" w:ascii="仿宋_GB2312" w:hAnsi="仿宋_GB2312" w:eastAsia="仿宋_GB2312"/>
          <w:color w:val="000000" w:themeColor="text1"/>
          <w:kern w:val="0"/>
          <w:sz w:val="32"/>
          <w:szCs w:val="32"/>
          <w:lang w:val="en" w:eastAsia="zh-CN"/>
          <w14:textFill>
            <w14:solidFill>
              <w14:schemeClr w14:val="tx1"/>
            </w14:solidFill>
          </w14:textFill>
        </w:rPr>
        <w:t>；</w:t>
      </w:r>
      <w:r>
        <w:rPr>
          <w:rFonts w:hint="eastAsia" w:ascii="仿宋_GB2312" w:hAnsi="仿宋_GB2312" w:eastAsia="仿宋_GB2312"/>
          <w:color w:val="000000" w:themeColor="text1"/>
          <w:kern w:val="0"/>
          <w:sz w:val="32"/>
          <w:szCs w:val="32"/>
          <w:lang w:eastAsia="zh-CN"/>
          <w14:textFill>
            <w14:solidFill>
              <w14:schemeClr w14:val="tx1"/>
            </w14:solidFill>
          </w14:textFill>
        </w:rPr>
        <w:t>向普通投资者主动推介风险等级高于其风险承受能力产品。</w:t>
      </w:r>
      <w:r>
        <w:rPr>
          <w:rFonts w:hint="eastAsia" w:ascii="仿宋_GB2312" w:hAnsi="仿宋_GB2312" w:eastAsia="仿宋_GB2312"/>
          <w:b/>
          <w:bCs/>
          <w:color w:val="000000" w:themeColor="text1"/>
          <w:kern w:val="0"/>
          <w:sz w:val="32"/>
          <w:szCs w:val="32"/>
          <w:lang w:eastAsia="zh-CN"/>
          <w14:textFill>
            <w14:solidFill>
              <w14:schemeClr w14:val="tx1"/>
            </w14:solidFill>
          </w14:textFill>
        </w:rPr>
        <w:t>三是</w:t>
      </w:r>
      <w:r>
        <w:rPr>
          <w:rFonts w:hint="eastAsia" w:ascii="仿宋_GB2312" w:hAnsi="仿宋_GB2312" w:eastAsia="仿宋_GB2312"/>
          <w:b w:val="0"/>
          <w:bCs w:val="0"/>
          <w:color w:val="000000" w:themeColor="text1"/>
          <w:kern w:val="0"/>
          <w:sz w:val="32"/>
          <w:szCs w:val="32"/>
          <w:lang w:eastAsia="zh-CN"/>
          <w14:textFill>
            <w14:solidFill>
              <w14:schemeClr w14:val="tx1"/>
            </w14:solidFill>
          </w14:textFill>
        </w:rPr>
        <w:t>向客户</w:t>
      </w:r>
      <w:r>
        <w:rPr>
          <w:rFonts w:hint="default" w:ascii="仿宋_GB2312" w:hAnsi="仿宋_GB2312" w:eastAsia="仿宋_GB2312" w:cs="仿宋_GB2312"/>
          <w:b w:val="0"/>
          <w:bCs w:val="0"/>
          <w:color w:val="000000" w:themeColor="text1"/>
          <w:kern w:val="0"/>
          <w:sz w:val="32"/>
          <w:szCs w:val="32"/>
          <w:lang w:val="en" w:eastAsia="zh-CN"/>
          <w14:textFill>
            <w14:solidFill>
              <w14:schemeClr w14:val="tx1"/>
            </w14:solidFill>
          </w14:textFill>
        </w:rPr>
        <w:t>提供</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投资建议时</w:t>
      </w:r>
      <w:r>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t>未提示风险、未</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向客户告知</w:t>
      </w:r>
      <w:r>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t>证券研究报告的发布人和发布日期</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Times New Roman"/>
          <w:b w:val="0"/>
          <w:bCs w:val="0"/>
          <w:color w:val="000000" w:themeColor="text1"/>
          <w:kern w:val="0"/>
          <w:sz w:val="32"/>
          <w:szCs w:val="32"/>
          <w:lang w:eastAsia="zh-CN"/>
          <w14:textFill>
            <w14:solidFill>
              <w14:schemeClr w14:val="tx1"/>
            </w14:solidFill>
          </w14:textFill>
        </w:rPr>
        <w:t>上述行为反映出你公司合规管理不到位，违反了</w:t>
      </w:r>
      <w:r>
        <w:rPr>
          <w:rFonts w:hint="eastAsia" w:ascii="仿宋_GB2312" w:hAnsi="仿宋_GB2312" w:eastAsia="仿宋_GB2312"/>
          <w:color w:val="000000" w:themeColor="text1"/>
          <w:kern w:val="0"/>
          <w:sz w:val="32"/>
          <w:szCs w:val="32"/>
          <w:lang w:eastAsia="zh-CN"/>
          <w14:textFill>
            <w14:solidFill>
              <w14:schemeClr w14:val="tx1"/>
            </w14:solidFill>
          </w14:textFill>
        </w:rPr>
        <w:t>《证券期货投资者适当性管理办法》（证监会令第202号，以下简称《适当性管理办法》）</w:t>
      </w:r>
      <w:r>
        <w:rPr>
          <w:rFonts w:hint="eastAsia" w:ascii="仿宋_GB2312" w:hAnsi="仿宋_GB2312" w:eastAsia="仿宋_GB2312"/>
          <w:color w:val="000000" w:themeColor="text1"/>
          <w:kern w:val="0"/>
          <w:sz w:val="32"/>
          <w:szCs w:val="32"/>
          <w:lang w:val="en-US" w:eastAsia="zh-CN"/>
          <w14:textFill>
            <w14:solidFill>
              <w14:schemeClr w14:val="tx1"/>
            </w14:solidFill>
          </w14:textFill>
        </w:rPr>
        <w:t>第二十二条第三项及</w:t>
      </w:r>
      <w:r>
        <w:rPr>
          <w:rFonts w:hint="eastAsia" w:ascii="仿宋_GB2312" w:hAnsi="仿宋_GB2312" w:eastAsia="仿宋_GB2312"/>
          <w:color w:val="000000" w:themeColor="text1"/>
          <w:kern w:val="0"/>
          <w:sz w:val="32"/>
          <w:szCs w:val="32"/>
          <w14:textFill>
            <w14:solidFill>
              <w14:schemeClr w14:val="tx1"/>
            </w14:solidFill>
          </w14:textFill>
        </w:rPr>
        <w:t>《证券投资顾问业务暂行规定》（证监会公告〔2020〕66号</w:t>
      </w:r>
      <w:r>
        <w:rPr>
          <w:rFonts w:hint="default" w:ascii="仿宋_GB2312" w:hAnsi="仿宋_GB2312" w:eastAsia="仿宋_GB2312"/>
          <w:color w:val="000000" w:themeColor="text1"/>
          <w:kern w:val="0"/>
          <w:sz w:val="32"/>
          <w:szCs w:val="32"/>
          <w:lang w:val="en-US"/>
          <w14:textFill>
            <w14:solidFill>
              <w14:schemeClr w14:val="tx1"/>
            </w14:solidFill>
          </w14:textFill>
        </w:rPr>
        <w:t>,</w:t>
      </w:r>
      <w:r>
        <w:rPr>
          <w:rFonts w:hint="eastAsia" w:ascii="仿宋_GB2312" w:hAnsi="仿宋_GB2312" w:eastAsia="仿宋_GB2312"/>
          <w:color w:val="000000" w:themeColor="text1"/>
          <w:kern w:val="0"/>
          <w:sz w:val="32"/>
          <w:szCs w:val="32"/>
          <w:lang w:val="en-US" w:eastAsia="zh-CN"/>
          <w14:textFill>
            <w14:solidFill>
              <w14:schemeClr w14:val="tx1"/>
            </w14:solidFill>
          </w14:textFill>
        </w:rPr>
        <w:t>以下简称《</w:t>
      </w:r>
      <w:r>
        <w:rPr>
          <w:rFonts w:hint="eastAsia" w:ascii="仿宋_GB2312" w:hAnsi="仿宋_GB2312" w:eastAsia="仿宋_GB2312" w:cs="Times New Roman"/>
          <w:color w:val="000000" w:themeColor="text1"/>
          <w:kern w:val="0"/>
          <w:sz w:val="32"/>
          <w:szCs w:val="32"/>
          <w:highlight w:val="none"/>
          <w:lang w:val="en-US" w:eastAsia="zh-CN"/>
          <w14:textFill>
            <w14:solidFill>
              <w14:schemeClr w14:val="tx1"/>
            </w14:solidFill>
          </w14:textFill>
        </w:rPr>
        <w:t>投顾业务规定</w:t>
      </w:r>
      <w:r>
        <w:rPr>
          <w:rFonts w:hint="eastAsia" w:ascii="仿宋_GB2312" w:hAnsi="仿宋_GB2312" w:eastAsia="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olor w:val="000000" w:themeColor="text1"/>
          <w:kern w:val="0"/>
          <w:sz w:val="32"/>
          <w:szCs w:val="32"/>
          <w14:textFill>
            <w14:solidFill>
              <w14:schemeClr w14:val="tx1"/>
            </w14:solidFill>
          </w14:textFill>
        </w:rPr>
        <w:t>）</w:t>
      </w:r>
      <w:r>
        <w:rPr>
          <w:rFonts w:hint="eastAsia" w:ascii="仿宋_GB2312" w:hAnsi="仿宋_GB2312" w:eastAsia="仿宋_GB2312"/>
          <w:color w:val="000000" w:themeColor="text1"/>
          <w:kern w:val="0"/>
          <w:sz w:val="32"/>
          <w:szCs w:val="32"/>
          <w:lang w:val="en-US" w:eastAsia="zh-CN"/>
          <w14:textFill>
            <w14:solidFill>
              <w14:schemeClr w14:val="tx1"/>
            </w14:solidFill>
          </w14:textFill>
        </w:rPr>
        <w:t>第三条、</w:t>
      </w:r>
      <w:r>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t>第十五条、第十八条、第十九条第一款、</w:t>
      </w:r>
      <w:r>
        <w:rPr>
          <w:rFonts w:hint="eastAsia" w:ascii="仿宋_GB2312" w:hAnsi="仿宋_GB2312" w:eastAsia="仿宋_GB2312"/>
          <w:color w:val="000000" w:themeColor="text1"/>
          <w:kern w:val="0"/>
          <w:sz w:val="32"/>
          <w:szCs w:val="32"/>
          <w:lang w:val="en-US" w:eastAsia="zh-CN"/>
          <w14:textFill>
            <w14:solidFill>
              <w14:schemeClr w14:val="tx1"/>
            </w14:solidFill>
          </w14:textFill>
        </w:rPr>
        <w:t>第二十四条的相关规定。</w:t>
      </w:r>
      <w:r>
        <w:rPr>
          <w:rFonts w:hint="eastAsia" w:ascii="仿宋_GB2312" w:hAnsi="仿宋_GB2312" w:eastAsia="仿宋_GB2312" w:cs="仿宋_GB2312"/>
          <w:b w:val="0"/>
          <w:color w:val="000000" w:themeColor="text1"/>
          <w:kern w:val="0"/>
          <w:sz w:val="32"/>
          <w:szCs w:val="32"/>
          <w:lang w:eastAsia="zh-CN"/>
          <w14:textFill>
            <w14:solidFill>
              <w14:schemeClr w14:val="tx1"/>
            </w14:solidFill>
          </w14:textFill>
        </w:rPr>
        <w:t>按照</w:t>
      </w:r>
      <w:r>
        <w:rPr>
          <w:rFonts w:hint="eastAsia" w:ascii="仿宋_GB2312" w:hAnsi="仿宋_GB2312" w:eastAsia="仿宋_GB2312"/>
          <w:color w:val="000000" w:themeColor="text1"/>
          <w:kern w:val="0"/>
          <w:sz w:val="32"/>
          <w:szCs w:val="32"/>
          <w14:textFill>
            <w14:solidFill>
              <w14:schemeClr w14:val="tx1"/>
            </w14:solidFill>
          </w14:textFill>
        </w:rPr>
        <w:t>《</w:t>
      </w:r>
      <w:r>
        <w:rPr>
          <w:rFonts w:hint="eastAsia" w:ascii="仿宋_GB2312" w:hAnsi="仿宋_GB2312" w:eastAsia="仿宋_GB2312"/>
          <w:color w:val="000000" w:themeColor="text1"/>
          <w:kern w:val="0"/>
          <w:sz w:val="32"/>
          <w:szCs w:val="32"/>
          <w:lang w:eastAsia="zh-CN"/>
          <w14:textFill>
            <w14:solidFill>
              <w14:schemeClr w14:val="tx1"/>
            </w14:solidFill>
          </w14:textFill>
        </w:rPr>
        <w:t>中华人民共和国</w:t>
      </w:r>
      <w:r>
        <w:rPr>
          <w:rFonts w:hint="eastAsia" w:ascii="仿宋_GB2312" w:hAnsi="仿宋_GB2312" w:eastAsia="仿宋_GB2312"/>
          <w:color w:val="000000" w:themeColor="text1"/>
          <w:kern w:val="0"/>
          <w:sz w:val="32"/>
          <w:szCs w:val="32"/>
          <w14:textFill>
            <w14:solidFill>
              <w14:schemeClr w14:val="tx1"/>
            </w14:solidFill>
          </w14:textFill>
        </w:rPr>
        <w:t>证券法》</w:t>
      </w:r>
      <w:r>
        <w:rPr>
          <w:rFonts w:hint="eastAsia" w:ascii="仿宋_GB2312" w:hAnsi="仿宋_GB2312" w:eastAsia="仿宋_GB2312" w:cs="仿宋_GB2312"/>
          <w:b w:val="0"/>
          <w:color w:val="000000" w:themeColor="text1"/>
          <w:kern w:val="0"/>
          <w:sz w:val="32"/>
          <w:szCs w:val="32"/>
          <w:lang w:eastAsia="zh-CN"/>
          <w14:textFill>
            <w14:solidFill>
              <w14:schemeClr w14:val="tx1"/>
            </w14:solidFill>
          </w14:textFill>
        </w:rPr>
        <w:t>第一百七十条第二款、</w:t>
      </w:r>
      <w:r>
        <w:rPr>
          <w:rFonts w:hint="eastAsia" w:ascii="仿宋_GB2312" w:hAnsi="仿宋_GB2312" w:eastAsia="仿宋_GB2312"/>
          <w:color w:val="000000" w:themeColor="text1"/>
          <w:kern w:val="0"/>
          <w:sz w:val="32"/>
          <w:szCs w:val="32"/>
          <w:lang w:eastAsia="zh-CN"/>
          <w14:textFill>
            <w14:solidFill>
              <w14:schemeClr w14:val="tx1"/>
            </w14:solidFill>
          </w14:textFill>
        </w:rPr>
        <w:t>《适当性管理办法》</w:t>
      </w:r>
      <w:r>
        <w:rPr>
          <w:rFonts w:hint="eastAsia" w:ascii="仿宋_GB2312" w:hAnsi="仿宋_GB2312" w:eastAsia="仿宋_GB2312"/>
          <w:color w:val="000000" w:themeColor="text1"/>
          <w:kern w:val="0"/>
          <w:sz w:val="32"/>
          <w:szCs w:val="32"/>
          <w:lang w:val="en-US" w:eastAsia="zh-CN"/>
          <w14:textFill>
            <w14:solidFill>
              <w14:schemeClr w14:val="tx1"/>
            </w14:solidFill>
          </w14:textFill>
        </w:rPr>
        <w:t>第三十七条</w:t>
      </w:r>
      <w:r>
        <w:rPr>
          <w:rFonts w:hint="eastAsia" w:ascii="仿宋_GB2312" w:hAnsi="仿宋_GB2312" w:eastAsia="仿宋_GB2312" w:cs="仿宋_GB2312"/>
          <w:b w:val="0"/>
          <w:color w:val="000000" w:themeColor="text1"/>
          <w:kern w:val="0"/>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投顾业务规定</w:t>
      </w:r>
      <w:r>
        <w:rPr>
          <w:rFonts w:hint="eastAsia" w:ascii="仿宋_GB2312" w:hAnsi="仿宋_GB2312" w:eastAsia="仿宋_GB2312" w:cs="仿宋_GB2312"/>
          <w:b w:val="0"/>
          <w:color w:val="000000" w:themeColor="text1"/>
          <w:kern w:val="0"/>
          <w:sz w:val="32"/>
          <w:szCs w:val="32"/>
          <w:lang w:eastAsia="zh-CN"/>
          <w14:textFill>
            <w14:solidFill>
              <w14:schemeClr w14:val="tx1"/>
            </w14:solidFill>
          </w14:textFill>
        </w:rPr>
        <w:t>》第三十二条的规定，</w:t>
      </w:r>
      <w:r>
        <w:rPr>
          <w:rFonts w:hint="eastAsia" w:ascii="仿宋_GB2312" w:hAnsi="仿宋_GB2312" w:eastAsia="仿宋_GB2312" w:cs="仿宋_GB2312"/>
          <w:color w:val="000000" w:themeColor="text1"/>
          <w:kern w:val="0"/>
          <w:sz w:val="32"/>
          <w:szCs w:val="32"/>
          <w14:textFill>
            <w14:solidFill>
              <w14:schemeClr w14:val="tx1"/>
            </w14:solidFill>
          </w14:textFill>
        </w:rPr>
        <w:t>我局</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决定</w:t>
      </w:r>
      <w:r>
        <w:rPr>
          <w:rFonts w:hint="eastAsia" w:ascii="仿宋_GB2312" w:hAnsi="仿宋_GB2312" w:eastAsia="仿宋_GB2312" w:cs="仿宋_GB2312"/>
          <w:color w:val="000000" w:themeColor="text1"/>
          <w:kern w:val="0"/>
          <w:sz w:val="32"/>
          <w:szCs w:val="32"/>
          <w14:textFill>
            <w14:solidFill>
              <w14:schemeClr w14:val="tx1"/>
            </w14:solidFill>
          </w14:textFill>
        </w:rPr>
        <w:t>对你公司</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采取责令增加内部合规检查次数并提交合规检查报告的行政监管措施。</w:t>
      </w:r>
    </w:p>
    <w:p>
      <w:pPr>
        <w:keepNext w:val="0"/>
        <w:keepLines w:val="0"/>
        <w:pageBreakBefore w:val="0"/>
        <w:kinsoku/>
        <w:wordWrap/>
        <w:overflowPunct w:val="0"/>
        <w:topLinePunct w:val="0"/>
        <w:autoSpaceDE/>
        <w:bidi w:val="0"/>
        <w:adjustRightInd w:val="0"/>
        <w:snapToGrid w:val="0"/>
        <w:spacing w:before="0" w:beforeLines="0" w:after="0" w:afterLines="0" w:line="312" w:lineRule="auto"/>
        <w:ind w:left="0" w:leftChars="0" w:right="0" w:righ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责令你公司在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本行政</w:t>
      </w:r>
      <w:r>
        <w:rPr>
          <w:rFonts w:hint="eastAsia" w:ascii="仿宋_GB2312" w:hAnsi="仿宋_GB2312" w:eastAsia="仿宋_GB2312" w:cs="仿宋_GB2312"/>
          <w:color w:val="000000" w:themeColor="text1"/>
          <w:kern w:val="0"/>
          <w:sz w:val="32"/>
          <w:szCs w:val="32"/>
          <w14:textFill>
            <w14:solidFill>
              <w14:schemeClr w14:val="tx1"/>
            </w14:solidFill>
          </w14:textFill>
        </w:rPr>
        <w:t>监管措施决定下发之日起6个月内，每月开展一次内部合规检查，全面检查公司合规管理制度的建立情况、经营管理行为的合规性和规范整改工作的落实情况，及时发现违法违规行为或风险隐患并予以改正或消除，根据检查情况切实完善管理制度和内部控制措施，并在每次检查后10个工作日内向我局报送合规检查报</w:t>
      </w:r>
      <w:bookmarkStart w:id="1" w:name="_GoBack"/>
      <w:bookmarkEnd w:id="1"/>
      <w:r>
        <w:rPr>
          <w:rFonts w:hint="eastAsia" w:ascii="仿宋_GB2312" w:hAnsi="仿宋_GB2312" w:eastAsia="仿宋_GB2312" w:cs="仿宋_GB2312"/>
          <w:color w:val="000000" w:themeColor="text1"/>
          <w:kern w:val="0"/>
          <w:sz w:val="32"/>
          <w:szCs w:val="32"/>
          <w14:textFill>
            <w14:solidFill>
              <w14:schemeClr w14:val="tx1"/>
            </w14:solidFill>
          </w14:textFill>
        </w:rPr>
        <w:t>告。</w:t>
      </w:r>
    </w:p>
    <w:p>
      <w:pPr>
        <w:keepNext w:val="0"/>
        <w:keepLines w:val="0"/>
        <w:pageBreakBefore w:val="0"/>
        <w:widowControl w:val="0"/>
        <w:kinsoku/>
        <w:wordWrap/>
        <w:overflowPunct w:val="0"/>
        <w:topLinePunct w:val="0"/>
        <w:autoSpaceDE/>
        <w:autoSpaceDN/>
        <w:bidi w:val="0"/>
        <w:adjustRightInd w:val="0"/>
        <w:snapToGrid w:val="0"/>
        <w:spacing w:beforeLines="0" w:afterLines="0" w:line="312" w:lineRule="auto"/>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olor w:val="000000" w:themeColor="text1"/>
          <w:kern w:val="0"/>
          <w:sz w:val="32"/>
          <w:szCs w:val="32"/>
          <w14:textFill>
            <w14:solidFill>
              <w14:schemeClr w14:val="tx1"/>
            </w14:solidFill>
          </w14:textFill>
        </w:rPr>
        <w:t>如果对本监督管理措施不服，可在收到本决定书之日起60日内向中国证券监督管理委员会提出行政复议申请，也可以在收到本决定书之日起6个月内向有管辖权的人民法院提起诉讼。复议与诉讼期间，上述监督管理措施不停止执行。</w:t>
      </w: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auto"/>
        <w:jc w:val="left"/>
        <w:textAlignment w:val="auto"/>
        <w:rPr>
          <w:rFonts w:ascii="宋体" w:hAnsi="宋体" w:cs="宋体"/>
          <w:color w:val="000000"/>
          <w:sz w:val="24"/>
          <w:szCs w:val="24"/>
        </w:rPr>
      </w:pP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auto"/>
        <w:jc w:val="left"/>
        <w:textAlignment w:val="auto"/>
        <w:rPr>
          <w:rFonts w:ascii="宋体" w:hAnsi="宋体" w:cs="宋体"/>
          <w:color w:val="000000"/>
          <w:sz w:val="24"/>
          <w:szCs w:val="24"/>
        </w:rPr>
      </w:pP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auto"/>
        <w:jc w:val="left"/>
        <w:textAlignment w:val="auto"/>
        <w:rPr>
          <w:rFonts w:ascii="宋体" w:hAnsi="宋体" w:cs="宋体"/>
          <w:color w:val="000000"/>
          <w:sz w:val="24"/>
          <w:szCs w:val="24"/>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rPr>
          <w:rFonts w:hint="eastAsia" w:ascii="仿宋_GB2312" w:hAnsi="Times New Roman" w:eastAsia="仿宋_GB2312" w:cs="Times New Roman"/>
          <w:color w:val="000000"/>
          <w:spacing w:val="10"/>
          <w:sz w:val="32"/>
          <w:szCs w:val="32"/>
        </w:rPr>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024</w:t>
      </w:r>
      <w:r>
        <w:rPr>
          <w:rFonts w:hint="eastAsia" w:ascii="仿宋_GB2312" w:hAnsi="Times New Roman" w:eastAsia="仿宋_GB2312" w:cs="Times New Roman"/>
          <w:color w:val="000000"/>
          <w:spacing w:val="10"/>
          <w:sz w:val="32"/>
          <w:szCs w:val="32"/>
        </w:rPr>
        <w:t>年</w:t>
      </w:r>
      <w:r>
        <w:rPr>
          <w:rFonts w:hint="eastAsia" w:ascii="仿宋_GB2312" w:eastAsia="仿宋_GB2312" w:cs="Times New Roman"/>
          <w:color w:val="000000"/>
          <w:spacing w:val="10"/>
          <w:sz w:val="32"/>
          <w:szCs w:val="32"/>
          <w:lang w:val="en-US" w:eastAsia="zh-CN"/>
        </w:rPr>
        <w:t>1</w:t>
      </w:r>
      <w:r>
        <w:rPr>
          <w:rFonts w:hint="default" w:ascii="仿宋_GB2312" w:eastAsia="仿宋_GB2312" w:cs="Times New Roman"/>
          <w:color w:val="000000"/>
          <w:spacing w:val="10"/>
          <w:sz w:val="32"/>
          <w:szCs w:val="32"/>
          <w:lang w:val="en-US" w:eastAsia="zh-CN"/>
        </w:rPr>
        <w:t>1</w:t>
      </w:r>
      <w:r>
        <w:rPr>
          <w:rFonts w:hint="eastAsia" w:ascii="仿宋_GB2312" w:hAnsi="Times New Roman" w:eastAsia="仿宋_GB2312" w:cs="Times New Roman"/>
          <w:color w:val="000000"/>
          <w:spacing w:val="10"/>
          <w:sz w:val="32"/>
          <w:szCs w:val="32"/>
        </w:rPr>
        <w:t>月</w:t>
      </w:r>
      <w:r>
        <w:rPr>
          <w:rFonts w:hint="default" w:ascii="仿宋_GB2312" w:eastAsia="仿宋_GB2312" w:cs="Times New Roman"/>
          <w:color w:val="000000"/>
          <w:spacing w:val="10"/>
          <w:sz w:val="32"/>
          <w:szCs w:val="32"/>
          <w:lang w:val="en-US" w:eastAsia="zh-CN"/>
        </w:rPr>
        <w:t>20</w:t>
      </w:r>
      <w:r>
        <w:rPr>
          <w:rFonts w:hint="eastAsia" w:ascii="仿宋_GB2312" w:hAnsi="Times New Roman" w:eastAsia="仿宋_GB2312" w:cs="Times New Roman"/>
          <w:color w:val="000000"/>
          <w:spacing w:val="10"/>
          <w:sz w:val="32"/>
          <w:szCs w:val="32"/>
        </w:rPr>
        <w:t>日</w:t>
      </w:r>
    </w:p>
    <w:p>
      <w:pPr>
        <w:snapToGrid w:val="0"/>
        <w:spacing w:line="360" w:lineRule="auto"/>
        <w:ind w:right="28"/>
        <w:jc w:val="left"/>
        <w:rPr>
          <w:rFonts w:hint="eastAsia" w:ascii="黑体" w:eastAsia="黑体" w:cs="Times New Roman"/>
          <w:spacing w:val="8"/>
          <w:sz w:val="21"/>
          <w:szCs w:val="21"/>
        </w:rPr>
      </w:pPr>
    </w:p>
    <w:p>
      <w:pPr>
        <w:snapToGrid w:val="0"/>
        <w:spacing w:line="360" w:lineRule="auto"/>
        <w:ind w:right="28"/>
        <w:jc w:val="left"/>
        <w:rPr>
          <w:rFonts w:hint="eastAsia" w:ascii="黑体" w:eastAsia="黑体" w:cs="Times New Roman"/>
          <w:spacing w:val="8"/>
          <w:sz w:val="21"/>
          <w:szCs w:val="21"/>
        </w:rPr>
      </w:pP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ind w:firstLine="296" w:firstLineChars="100"/>
        <w:textAlignment w:val="auto"/>
        <w:rPr>
          <w:rFonts w:hint="eastAsia" w:ascii="仿宋_GB2312" w:eastAsia="仿宋_GB2312"/>
          <w:spacing w:val="8"/>
          <w:sz w:val="28"/>
          <w:lang w:val="en-US" w:eastAsia="zh-CN"/>
        </w:rPr>
      </w:pPr>
      <w:r>
        <w:rPr>
          <w:rFonts w:hint="eastAsia" w:ascii="仿宋_GB2312" w:eastAsia="仿宋_GB2312"/>
          <w:spacing w:val="8"/>
          <w:sz w:val="28"/>
        </w:rPr>
        <w:t>抄送：证监会机构司、法治司</w:t>
      </w:r>
      <w:r>
        <w:rPr>
          <w:rFonts w:hint="eastAsia" w:ascii="仿宋_GB2312" w:eastAsia="仿宋_GB2312"/>
          <w:spacing w:val="8"/>
          <w:sz w:val="28"/>
          <w:lang w:eastAsia="zh-CN"/>
        </w:rPr>
        <w:t>。</w:t>
      </w:r>
    </w:p>
    <w:p>
      <w:pPr>
        <w:pBdr>
          <w:top w:val="single" w:color="auto" w:sz="4" w:space="6"/>
        </w:pBdr>
        <w:adjustRightInd w:val="0"/>
        <w:snapToGrid w:val="0"/>
        <w:spacing w:after="109" w:afterLines="35"/>
        <w:ind w:firstLine="318"/>
        <w:jc w:val="left"/>
        <w:rPr>
          <w:rFonts w:hint="eastAsia" w:ascii="仿宋_GB2312" w:eastAsia="仿宋_GB2312"/>
          <w:spacing w:val="8"/>
          <w:sz w:val="28"/>
        </w:rPr>
      </w:pPr>
      <w:r>
        <w:rPr>
          <w:rFonts w:hint="eastAsia" w:ascii="仿宋_GB2312" w:eastAsia="仿宋_GB2312"/>
          <w:spacing w:val="8"/>
          <w:sz w:val="28"/>
        </w:rPr>
        <w:t xml:space="preserve">广东证监局办公室              </w:t>
      </w:r>
      <w:r>
        <w:rPr>
          <w:rFonts w:hint="default" w:ascii="仿宋_GB2312" w:eastAsia="仿宋_GB2312"/>
          <w:spacing w:val="8"/>
          <w:sz w:val="28"/>
          <w:lang w:val="en-US"/>
        </w:rPr>
        <w:t xml:space="preserve">   </w:t>
      </w:r>
      <w:r>
        <w:rPr>
          <w:rFonts w:hint="eastAsia" w:ascii="仿宋_GB2312" w:eastAsia="仿宋_GB2312"/>
          <w:spacing w:val="8"/>
          <w:sz w:val="28"/>
        </w:rPr>
        <w:t xml:space="preserve"> </w:t>
      </w:r>
      <w:r>
        <w:rPr>
          <w:rFonts w:hint="default" w:ascii="仿宋_GB2312" w:eastAsia="仿宋_GB2312"/>
          <w:spacing w:val="8"/>
          <w:sz w:val="28"/>
          <w:lang w:val="en" w:eastAsia="zh-CN"/>
        </w:rPr>
        <w:t>202</w:t>
      </w:r>
      <w:r>
        <w:rPr>
          <w:rFonts w:hint="eastAsia" w:ascii="仿宋_GB2312" w:eastAsia="仿宋_GB2312"/>
          <w:spacing w:val="8"/>
          <w:sz w:val="28"/>
          <w:lang w:val="en-US" w:eastAsia="zh-CN"/>
        </w:rPr>
        <w:t>4</w:t>
      </w:r>
      <w:r>
        <w:rPr>
          <w:rFonts w:hint="eastAsia" w:ascii="仿宋_GB2312" w:eastAsia="仿宋_GB2312"/>
          <w:spacing w:val="8"/>
          <w:sz w:val="28"/>
        </w:rPr>
        <w:t>年</w:t>
      </w:r>
      <w:r>
        <w:rPr>
          <w:rFonts w:hint="default" w:ascii="仿宋_GB2312" w:eastAsia="仿宋_GB2312"/>
          <w:spacing w:val="8"/>
          <w:sz w:val="28"/>
          <w:lang w:val="en-US"/>
        </w:rPr>
        <w:t>1</w:t>
      </w:r>
      <w:r>
        <w:rPr>
          <w:rFonts w:hint="default" w:ascii="仿宋_GB2312" w:eastAsia="仿宋_GB2312"/>
          <w:spacing w:val="8"/>
          <w:sz w:val="28"/>
          <w:lang w:val="en-US" w:eastAsia="zh-CN"/>
        </w:rPr>
        <w:t>1</w:t>
      </w:r>
      <w:r>
        <w:rPr>
          <w:rFonts w:hint="eastAsia" w:ascii="仿宋_GB2312" w:eastAsia="仿宋_GB2312"/>
          <w:spacing w:val="8"/>
          <w:sz w:val="28"/>
        </w:rPr>
        <w:t>月</w:t>
      </w:r>
      <w:r>
        <w:rPr>
          <w:rFonts w:hint="default" w:ascii="仿宋_GB2312" w:eastAsia="仿宋_GB2312"/>
          <w:spacing w:val="8"/>
          <w:sz w:val="28"/>
          <w:lang w:val="en-US" w:eastAsia="zh-CN"/>
        </w:rPr>
        <w:t>20</w:t>
      </w:r>
      <w:r>
        <w:rPr>
          <w:rFonts w:hint="eastAsia" w:ascii="仿宋_GB2312" w:eastAsia="仿宋_GB2312"/>
          <w:spacing w:val="8"/>
          <w:sz w:val="28"/>
        </w:rPr>
        <w:t>日印发</w:t>
      </w:r>
    </w:p>
    <w:p>
      <w:pPr>
        <w:pBdr>
          <w:top w:val="single" w:color="auto" w:sz="8" w:space="7"/>
        </w:pBdr>
        <w:overflowPunct w:val="0"/>
        <w:adjustRightInd w:val="0"/>
        <w:snapToGrid w:val="0"/>
        <w:spacing w:beforeLines="0" w:after="0" w:afterLines="0"/>
        <w:ind w:firstLine="0"/>
        <w:jc w:val="left"/>
        <w:rPr>
          <w:rFonts w:hint="eastAsia" w:ascii="仿宋_GB2312" w:eastAsia="仿宋_GB2312"/>
          <w:spacing w:val="8"/>
          <w:sz w:val="2"/>
          <w:szCs w:val="2"/>
        </w:rPr>
      </w:pPr>
    </w:p>
    <w:bookmarkEnd w:id="0"/>
    <w:p>
      <w:pPr>
        <w:snapToGrid w:val="0"/>
        <w:spacing w:beforeLines="0" w:afterLines="0"/>
        <w:rPr>
          <w:sz w:val="2"/>
          <w:szCs w:val="2"/>
        </w:rPr>
      </w:pPr>
    </w:p>
    <w:sectPr>
      <w:headerReference r:id="rId3" w:type="default"/>
      <w:footerReference r:id="rId4" w:type="default"/>
      <w:pgSz w:w="11906" w:h="16838"/>
      <w:pgMar w:top="2097" w:right="1474" w:bottom="1984" w:left="1587"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CAGKDB+CESI_FS_GB18030"/>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GKDB+CESI_FS_GB18030">
    <w:altName w:val="宋体"/>
    <w:panose1 w:val="02000500000000000000"/>
    <w:charset w:val="86"/>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F33CD"/>
    <w:rsid w:val="38FD160B"/>
    <w:rsid w:val="5F7D6037"/>
    <w:rsid w:val="77FF6D19"/>
    <w:rsid w:val="79FF33CD"/>
    <w:rsid w:val="877FC778"/>
    <w:rsid w:val="CF4CB562"/>
    <w:rsid w:val="D6F55AAB"/>
    <w:rsid w:val="DE23131F"/>
    <w:rsid w:val="FBCFDA1B"/>
    <w:rsid w:val="FFDF7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p0"/>
    <w:basedOn w:val="1"/>
    <w:qFormat/>
    <w:uiPriority w:val="0"/>
    <w:pPr>
      <w:widowControl/>
    </w:pPr>
    <w:rPr>
      <w:kern w:val="0"/>
      <w:szCs w:val="21"/>
    </w:rPr>
  </w:style>
  <w:style w:type="paragraph" w:customStyle="1" w:styleId="9">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2024-11-14T06:48:00Z</dcterms:created>
  <dc:creator>高颖文</dc:creator>
  <cp:lastModifiedBy>高颖文</cp:lastModifiedBy>
  <dcterms:modified xsi:type="dcterms:W3CDTF">2024-11-25T15:00:15Z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5C8EE618A5F670AF7F204467AFCC5AB8</vt:lpwstr>
  </property>
</Properties>
</file>