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195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quanwen"/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东方证券股份有限公司汕头长平路证券营业部采取出具警示函措施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的决定</w:t>
      </w:r>
    </w:p>
    <w:bookmarkEnd w:id="1"/>
    <w:p>
      <w:pPr>
        <w:adjustRightInd w:val="0"/>
        <w:snapToGrid w:val="0"/>
        <w:spacing w:line="240" w:lineRule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line="336" w:lineRule="auto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东方证券股份有限公司汕头长平路证券营业部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Lines="0" w:line="336" w:lineRule="auto"/>
        <w:ind w:firstLine="640"/>
        <w:jc w:val="both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经查，你营业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部存在以下问题：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风控合规岗、信息技术岗、交易管理岗、账户管理岗等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非营销岗员工下达营销任务；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针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对认购期基金产品销售设置特别考核激励；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pacing w:val="0"/>
          <w:kern w:val="2"/>
          <w:sz w:val="32"/>
          <w:szCs w:val="32"/>
          <w:lang w:val="en-US" w:eastAsia="zh-CN" w:bidi="ar-SA"/>
        </w:rPr>
        <w:t>业务招待费用使用不规范，反映出营业部内部合规管理存在不足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。上述情形违反了《证券经纪业务管理办法》（证监会令第204号）第四十条、《公开募集证券投资基金销售机构监督管理办法》（证监会令第175号）第三十条第一款、《证券公司和证券投资基金管理公司合规管理办法》（证监会令第166号）第三条的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Lines="0" w:line="336" w:lineRule="auto"/>
        <w:ind w:firstLine="640"/>
        <w:jc w:val="both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根据《证券经纪业务管理办法》第四十三条、《公开募集证券投资基金销售机构监督管理办法》第五十三条、《证券公司和证券投资基金管理公司合规管理办法》第三十二条第一款的规定，我局决定对你营业部采取出具警示函的行政监管措施。你营业部应高度重视，采取有效措施切实整改，加强内控合规管理，提高员工合规展业意识，规范开展客户招揽活动，强化员工执业行为监督。</w:t>
      </w:r>
    </w:p>
    <w:p>
      <w:pPr>
        <w:widowControl w:val="0"/>
        <w:overflowPunct w:val="0"/>
        <w:adjustRightInd/>
        <w:snapToGrid w:val="0"/>
        <w:spacing w:beforeLines="0" w:line="336" w:lineRule="auto"/>
        <w:ind w:firstLine="640" w:firstLine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如果对本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监管措施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不服，可以在收到本决定书之日起60日内向中国证券监督管理委员会提出行政复议申请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也可以在收到本决定书之日起6个月内向有管辖权的人民法院提起诉讼。复议与诉讼期间，上述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监管措施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rPr>
          <w:rFonts w:hint="eastAsia" w:ascii="仿宋_GB2312" w:hAnsi="仿宋_GB2312" w:cs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_GB2312" w:cs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_GB2312" w:cs="仿宋_GB2312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抄送：证监会机构司、法治司；上海证监局；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1184" w:firstLineChars="4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东方证券股份有限公司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22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DE2D1"/>
    <w:rsid w:val="1AFB151B"/>
    <w:rsid w:val="5FFEF1AE"/>
    <w:rsid w:val="6FEFC4FE"/>
    <w:rsid w:val="76D77A80"/>
    <w:rsid w:val="7DFFD8DC"/>
    <w:rsid w:val="7EEF2FCE"/>
    <w:rsid w:val="BE7C77E3"/>
    <w:rsid w:val="E7F7D6CD"/>
    <w:rsid w:val="EEFDE2D1"/>
    <w:rsid w:val="EF7F041F"/>
    <w:rsid w:val="FD3FA2B4"/>
    <w:rsid w:val="FFDFFB37"/>
    <w:rsid w:val="FFF4E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2024-11-15T06:17:00Z</dcterms:created>
  <dc:creator>钟恩泽</dc:creator>
  <cp:lastModifiedBy>钟恩泽</cp:lastModifiedBy>
  <dcterms:modified xsi:type="dcterms:W3CDTF">2024-11-26T09:17:43Z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149100BFE935EC6A10C5316707DF6EEE</vt:lpwstr>
  </property>
</Properties>
</file>