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4"/>
          <w:szCs w:val="44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3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  <w:lang w:eastAsia="zh-CN"/>
        </w:rPr>
      </w:pPr>
      <w:bookmarkStart w:id="0" w:name="quanwen"/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  <w:lang w:eastAsia="zh-CN"/>
        </w:rPr>
        <w:t>中信建投证券股份有限公司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  <w:t>采取出具警示函措施的决定</w:t>
      </w:r>
    </w:p>
    <w:p>
      <w:pPr>
        <w:pStyle w:val="2"/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overflowPunct w:val="0"/>
        <w:adjustRightInd w:val="0"/>
        <w:snapToGrid w:val="0"/>
        <w:spacing w:beforeLines="0" w:afterLines="0" w:line="336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中信建投证券股份有限公司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0"/>
          <w:sz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查，你公司作为格力地产股份有限公司债券“23格地01”的主承销商和受托管理人，咨询审计机构工作底稿留痕不足，未对发行人管理层制作访谈记录，未对发行人重大损失披露临时受托管理事务报告，不符合《公司债券承销业务尽职调查指引（2020年）》第十一条、第二十一条，《公司债券受托管理人执业行为准则（2022年）》第十二条、第十八条等要求，</w:t>
      </w:r>
      <w:r>
        <w:rPr>
          <w:rFonts w:hint="eastAsia" w:ascii="仿宋_GB2312" w:hAnsi="仿宋_GB2312" w:eastAsia="仿宋_GB2312"/>
          <w:spacing w:val="0"/>
          <w:kern w:val="0"/>
          <w:sz w:val="32"/>
          <w:lang w:val="en" w:eastAsia="zh-CN"/>
        </w:rPr>
        <w:t>违反了《公司债券发行与交易管理办法》（证监会令第</w:t>
      </w:r>
      <w:r>
        <w:rPr>
          <w:rFonts w:hint="eastAsia" w:ascii="仿宋_GB2312" w:hAnsi="仿宋_GB2312" w:eastAsia="仿宋_GB2312"/>
          <w:spacing w:val="0"/>
          <w:kern w:val="0"/>
          <w:sz w:val="32"/>
          <w:lang w:val="en-US" w:eastAsia="zh-CN"/>
        </w:rPr>
        <w:t>180号</w:t>
      </w:r>
      <w:r>
        <w:rPr>
          <w:rFonts w:hint="eastAsia" w:ascii="仿宋_GB2312" w:hAnsi="仿宋_GB2312" w:eastAsia="仿宋_GB2312"/>
          <w:spacing w:val="0"/>
          <w:kern w:val="0"/>
          <w:sz w:val="32"/>
          <w:lang w:val="en" w:eastAsia="zh-CN"/>
        </w:rPr>
        <w:t>）第六条第一款的规定。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-6"/>
          <w:kern w:val="21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/>
          <w:spacing w:val="0"/>
          <w:kern w:val="0"/>
          <w:sz w:val="32"/>
        </w:rPr>
        <w:t>根据《公司债券发行与交易管理办法》</w:t>
      </w:r>
      <w:r>
        <w:rPr>
          <w:rFonts w:hint="eastAsia" w:ascii="仿宋_GB2312" w:hAnsi="仿宋_GB2312" w:eastAsia="仿宋_GB2312"/>
          <w:spacing w:val="0"/>
          <w:kern w:val="0"/>
          <w:sz w:val="32"/>
          <w:lang w:val="en" w:eastAsia="zh-CN"/>
        </w:rPr>
        <w:t>（证监会令第</w:t>
      </w:r>
      <w:r>
        <w:rPr>
          <w:rFonts w:hint="eastAsia" w:ascii="仿宋_GB2312" w:hAnsi="仿宋_GB2312" w:eastAsia="仿宋_GB2312"/>
          <w:spacing w:val="0"/>
          <w:kern w:val="0"/>
          <w:sz w:val="32"/>
          <w:lang w:val="en-US" w:eastAsia="zh-CN"/>
        </w:rPr>
        <w:t>180号</w:t>
      </w:r>
      <w:r>
        <w:rPr>
          <w:rFonts w:hint="eastAsia" w:ascii="仿宋_GB2312" w:hAnsi="仿宋_GB2312" w:eastAsia="仿宋_GB2312"/>
          <w:spacing w:val="0"/>
          <w:kern w:val="0"/>
          <w:sz w:val="32"/>
          <w:lang w:val="en" w:eastAsia="zh-CN"/>
        </w:rPr>
        <w:t>）</w:t>
      </w:r>
      <w:r>
        <w:rPr>
          <w:rFonts w:hint="eastAsia" w:ascii="仿宋_GB2312" w:hAnsi="仿宋_GB2312" w:eastAsia="仿宋_GB2312"/>
          <w:spacing w:val="0"/>
          <w:kern w:val="0"/>
          <w:sz w:val="32"/>
        </w:rPr>
        <w:t>第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六</w:t>
      </w:r>
      <w:r>
        <w:rPr>
          <w:rFonts w:hint="eastAsia" w:ascii="仿宋_GB2312" w:hAnsi="仿宋_GB2312" w:eastAsia="仿宋_GB2312"/>
          <w:spacing w:val="0"/>
          <w:kern w:val="0"/>
          <w:sz w:val="32"/>
        </w:rPr>
        <w:t>十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八</w:t>
      </w:r>
      <w:r>
        <w:rPr>
          <w:rFonts w:hint="eastAsia" w:ascii="仿宋_GB2312" w:hAnsi="仿宋_GB2312" w:eastAsia="仿宋_GB2312"/>
          <w:spacing w:val="0"/>
          <w:kern w:val="0"/>
          <w:sz w:val="32"/>
        </w:rPr>
        <w:t>条的规定，我局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决定</w:t>
      </w:r>
      <w:r>
        <w:rPr>
          <w:rFonts w:hint="eastAsia" w:ascii="仿宋_GB2312" w:hAnsi="仿宋_GB2312" w:eastAsia="仿宋_GB2312"/>
          <w:spacing w:val="0"/>
          <w:kern w:val="0"/>
          <w:sz w:val="32"/>
        </w:rPr>
        <w:t>对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你公司采取出具警示函的行政监管措施。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pacing w:val="-6"/>
          <w:kern w:val="21"/>
          <w:sz w:val="32"/>
          <w:szCs w:val="20"/>
          <w:lang w:eastAsia="zh-CN"/>
        </w:rPr>
      </w:pPr>
      <w:r>
        <w:rPr>
          <w:rFonts w:hint="eastAsia" w:ascii="仿宋_GB2312" w:hAnsi="仿宋_GB2312" w:eastAsia="仿宋_GB2312"/>
          <w:b w:val="0"/>
          <w:spacing w:val="-6"/>
          <w:kern w:val="21"/>
          <w:sz w:val="32"/>
          <w:szCs w:val="20"/>
          <w:lang w:eastAsia="zh-CN"/>
        </w:rPr>
        <w:t>如果对本监管措施不服，可以在收到本决定书之日起60日内向中国证券监督管理委员会提出行政复议申请，也可以在收到本决定书之日起6个月内向有管辖权的人民法院提起诉讼。复议与诉讼期间，上述监管措施不停止执行。</w:t>
      </w:r>
    </w:p>
    <w:p>
      <w:pPr>
        <w:pStyle w:val="8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ind w:firstLine="0"/>
        <w:jc w:val="center"/>
        <w:outlineLvl w:val="9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240" w:lineRule="auto"/>
        <w:ind w:right="26"/>
        <w:jc w:val="left"/>
        <w:rPr>
          <w:rFonts w:hint="eastAsia" w:ascii="黑体" w:eastAsia="黑体"/>
          <w:spacing w:val="8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 w:line="240" w:lineRule="auto"/>
        <w:ind w:firstLine="296" w:firstLineChars="1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eastAsia="zh-CN"/>
        </w:rPr>
        <w:t>证监会机构司、稽查局、法治司、债券司；北京证监局</w:t>
      </w:r>
      <w:r>
        <w:rPr>
          <w:rFonts w:hint="eastAsia" w:ascii="仿宋_GB2312" w:eastAsia="仿宋_GB2312"/>
          <w:spacing w:val="8"/>
          <w:sz w:val="28"/>
        </w:rPr>
        <w:t>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 w:line="240" w:lineRule="auto"/>
        <w:ind w:firstLine="1184" w:firstLineChars="4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上海证券交易所，深圳证券交易所。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24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F72C0"/>
    <w:rsid w:val="3BFA3538"/>
    <w:rsid w:val="3C5F72C0"/>
    <w:rsid w:val="6FE32664"/>
    <w:rsid w:val="7B6FA5A1"/>
    <w:rsid w:val="7B7F466A"/>
    <w:rsid w:val="CCDF535D"/>
    <w:rsid w:val="F9B77F7A"/>
    <w:rsid w:val="FDD90111"/>
    <w:rsid w:val="FF7D9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2024-04-13T18:17:00Z</dcterms:created>
  <dc:creator>宋黎</dc:creator>
  <cp:lastModifiedBy>宋黎</cp:lastModifiedBy>
  <dcterms:modified xsi:type="dcterms:W3CDTF">2024-04-29T10:55:25Z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C91146EF8E4C55070D8F176610A9A1F8</vt:lpwstr>
  </property>
</Properties>
</file>