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40"/>
          <w:szCs w:val="40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lang w:val="en-US"/>
        </w:rPr>
        <w:t>3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ML7WS1gAAAAgBAAAPAAAAAAAAAAEAIAAAADgAAABkcnMvZG93bnJldi54bWxQ&#10;SwECFAAUAAAACACHTuJAIhmvX+MBAACqAwAADgAAAAAAAAABACAAAAA7AQAAZHJzL2Uyb0RvYy54&#10;bWxQSwUGAAAAAAYABgBZAQAAkA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宋体"/>
          <w:spacing w:val="0"/>
          <w:kern w:val="0"/>
          <w:sz w:val="44"/>
          <w:szCs w:val="44"/>
        </w:rPr>
      </w:pPr>
      <w:bookmarkStart w:id="0" w:name="quanwen"/>
      <w:r>
        <w:rPr>
          <w:rFonts w:hint="eastAsia" w:ascii="方正小标宋简体" w:hAnsi="方正小标宋简体" w:eastAsia="方正小标宋简体" w:cs="宋体"/>
          <w:spacing w:val="0"/>
          <w:kern w:val="0"/>
          <w:sz w:val="44"/>
          <w:szCs w:val="44"/>
        </w:rPr>
        <w:t>关于对</w:t>
      </w:r>
      <w:r>
        <w:rPr>
          <w:rFonts w:hint="eastAsia" w:ascii="方正小标宋简体" w:hAnsi="方正小标宋简体" w:eastAsia="方正小标宋简体" w:cs="宋体"/>
          <w:spacing w:val="0"/>
          <w:kern w:val="0"/>
          <w:sz w:val="44"/>
          <w:szCs w:val="44"/>
          <w:lang w:eastAsia="zh-CN"/>
        </w:rPr>
        <w:t>中泰证券股份有限公司</w:t>
      </w:r>
      <w:r>
        <w:rPr>
          <w:rFonts w:hint="eastAsia" w:ascii="方正小标宋简体" w:hAnsi="方正小标宋简体" w:eastAsia="方正小标宋简体" w:cs="宋体"/>
          <w:spacing w:val="0"/>
          <w:kern w:val="0"/>
          <w:sz w:val="44"/>
          <w:szCs w:val="44"/>
        </w:rPr>
        <w:t>采取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宋体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spacing w:val="0"/>
          <w:kern w:val="0"/>
          <w:sz w:val="44"/>
          <w:szCs w:val="44"/>
          <w:lang w:val="en-US" w:eastAsia="zh-CN"/>
        </w:rPr>
        <w:t>责令改正监管</w:t>
      </w:r>
      <w:r>
        <w:rPr>
          <w:rFonts w:hint="eastAsia" w:ascii="方正小标宋简体" w:hAnsi="方正小标宋简体" w:eastAsia="方正小标宋简体" w:cs="宋体"/>
          <w:spacing w:val="0"/>
          <w:kern w:val="0"/>
          <w:sz w:val="44"/>
          <w:szCs w:val="44"/>
          <w:lang w:eastAsia="zh-CN"/>
        </w:rPr>
        <w:t>措施</w:t>
      </w:r>
      <w:r>
        <w:rPr>
          <w:rFonts w:hint="eastAsia" w:ascii="方正小标宋简体" w:hAnsi="方正小标宋简体" w:eastAsia="方正小标宋简体" w:cs="宋体"/>
          <w:spacing w:val="0"/>
          <w:kern w:val="0"/>
          <w:sz w:val="44"/>
          <w:szCs w:val="44"/>
        </w:rPr>
        <w:t>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pacing w:val="-6"/>
          <w:kern w:val="21"/>
          <w:sz w:val="32"/>
        </w:rPr>
      </w:pPr>
      <w:r>
        <w:rPr>
          <w:rFonts w:hint="eastAsia" w:ascii="仿宋_GB2312" w:hAnsi="仿宋_GB2312" w:eastAsia="仿宋_GB2312"/>
          <w:color w:val="auto"/>
          <w:spacing w:val="-6"/>
          <w:kern w:val="21"/>
          <w:sz w:val="32"/>
          <w:lang w:eastAsia="zh-CN"/>
        </w:rPr>
        <w:t>中泰证券股份有限公司</w:t>
      </w:r>
      <w:r>
        <w:rPr>
          <w:rFonts w:hint="eastAsia" w:ascii="仿宋_GB2312" w:hAnsi="仿宋_GB2312" w:eastAsia="仿宋_GB2312"/>
          <w:color w:val="auto"/>
          <w:spacing w:val="-6"/>
          <w:kern w:val="21"/>
          <w:sz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336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21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pacing w:val="-6"/>
          <w:kern w:val="21"/>
          <w:sz w:val="32"/>
          <w:highlight w:val="none"/>
          <w:lang w:val="en-US" w:eastAsia="zh-CN"/>
        </w:rPr>
        <w:t>经查，你公司</w:t>
      </w:r>
      <w:r>
        <w:rPr>
          <w:rFonts w:hint="eastAsia" w:ascii="仿宋_GB2312" w:hAnsi="仿宋_GB2312" w:eastAsia="仿宋_GB2312" w:cs="仿宋_GB2312"/>
          <w:color w:val="auto"/>
          <w:spacing w:val="-6"/>
          <w:kern w:val="21"/>
          <w:sz w:val="32"/>
          <w:highlight w:val="none"/>
          <w:lang w:val="en-US" w:eastAsia="zh-CN"/>
        </w:rPr>
        <w:t>作为格力地产股份有限公司债券“18格地01”“18格地02”“18格地03”“19格地01”的主承销商和受托管理人，对存货不存在跌价情况的分析核查不严谨，未制作咨询审计机构工作底稿，未对发行人重大损失披露临时受托管理事务报告，对发行人立案调查事项披露临时受托管理事务报告不及时，不符合《公司债券承销业务规范（2015年）》第十二条，《公司债券承销业务尽职调查指引（2015年）》第二条、第十条、第十九条，《公司债券受托管理人执业行为准则（2022年）》第十二条、第十八条等要求，违反了《公司债券发行与交易管理办法》（证监会令第113号）第七条、《公司债券发行与交易管理办法》（证监会令第180号）第六条第一款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336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-6"/>
          <w:kern w:val="21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/>
          <w:b w:val="0"/>
          <w:spacing w:val="-6"/>
          <w:kern w:val="21"/>
          <w:sz w:val="32"/>
          <w:szCs w:val="20"/>
          <w:lang w:eastAsia="zh-CN"/>
        </w:rPr>
        <w:t>根据《公司债券发行与交易管理办法》（证监会令第113号）第五十八条、《公司债券发行与交易管理办法》（证监会令第180号）第六十八条的规定，我局决定对你公司采取责令改正的行政监管措施</w:t>
      </w:r>
      <w:r>
        <w:rPr>
          <w:rFonts w:hint="eastAsia" w:ascii="仿宋_GB2312" w:hAnsi="仿宋_GB2312" w:eastAsia="仿宋_GB2312"/>
          <w:spacing w:val="-6"/>
          <w:kern w:val="21"/>
          <w:sz w:val="32"/>
          <w:szCs w:val="2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36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pacing w:val="-6"/>
          <w:kern w:val="21"/>
          <w:sz w:val="32"/>
          <w:szCs w:val="20"/>
          <w:lang w:eastAsia="zh-CN"/>
        </w:rPr>
      </w:pPr>
      <w:r>
        <w:rPr>
          <w:rFonts w:hint="eastAsia" w:ascii="仿宋_GB2312" w:hAnsi="仿宋_GB2312" w:eastAsia="仿宋_GB2312"/>
          <w:b w:val="0"/>
          <w:spacing w:val="-6"/>
          <w:kern w:val="21"/>
          <w:sz w:val="32"/>
          <w:szCs w:val="20"/>
          <w:lang w:eastAsia="zh-CN"/>
        </w:rPr>
        <w:t>如果对本监管措施不服，可以在收到本决定书之日起60日内向中国证券监督管理委员会提出行政复议申请，也可以在收到本决定书之日起6个月内向有管辖权的人民法院提起诉讼。复议与诉讼期间，上述监管措施不停止执行。</w:t>
      </w:r>
    </w:p>
    <w:p>
      <w:pPr>
        <w:pStyle w:val="8"/>
        <w:overflowPunct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广东证监局</w:t>
      </w:r>
    </w:p>
    <w:p>
      <w:pPr>
        <w:widowControl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ind w:firstLine="0"/>
        <w:jc w:val="center"/>
        <w:outlineLvl w:val="9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240" w:lineRule="auto"/>
        <w:ind w:right="26"/>
        <w:jc w:val="left"/>
        <w:rPr>
          <w:rFonts w:hint="eastAsia" w:ascii="黑体" w:eastAsia="黑体"/>
          <w:spacing w:val="8"/>
          <w:sz w:val="36"/>
          <w:szCs w:val="28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 w:line="240" w:lineRule="auto"/>
        <w:ind w:firstLine="296" w:firstLineChars="100"/>
        <w:textAlignment w:val="auto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>抄送：</w:t>
      </w:r>
      <w:r>
        <w:rPr>
          <w:rFonts w:hint="eastAsia" w:ascii="仿宋_GB2312" w:eastAsia="仿宋_GB2312"/>
          <w:spacing w:val="8"/>
          <w:sz w:val="28"/>
          <w:lang w:eastAsia="zh-CN"/>
        </w:rPr>
        <w:t>证监会机构司、稽查局、法治司、债券司；山东证监局</w:t>
      </w:r>
      <w:r>
        <w:rPr>
          <w:rFonts w:hint="eastAsia" w:ascii="仿宋_GB2312" w:eastAsia="仿宋_GB2312"/>
          <w:spacing w:val="8"/>
          <w:sz w:val="28"/>
        </w:rPr>
        <w:t>；</w:t>
      </w: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 w:line="240" w:lineRule="auto"/>
        <w:ind w:firstLine="1184" w:firstLineChars="400"/>
        <w:textAlignment w:val="auto"/>
        <w:rPr>
          <w:rFonts w:ascii="长城仿宋" w:eastAsia="长城仿宋"/>
          <w:sz w:val="28"/>
        </w:rPr>
      </w:pPr>
      <w:r>
        <w:rPr>
          <w:rFonts w:hint="eastAsia" w:ascii="仿宋_GB2312" w:eastAsia="仿宋_GB2312"/>
          <w:spacing w:val="8"/>
          <w:sz w:val="28"/>
        </w:rPr>
        <w:t>上海证券交易所，深圳证券交易所。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 w:line="240" w:lineRule="auto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24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adjustRightInd w:val="0"/>
        <w:snapToGrid w:val="0"/>
        <w:spacing w:beforeLines="0" w:after="0" w:afterLines="0" w:line="240" w:lineRule="auto"/>
        <w:ind w:firstLine="0"/>
        <w:jc w:val="left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仿宋">
    <w:altName w:val="宋体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9FE15"/>
    <w:rsid w:val="6D762A2B"/>
    <w:rsid w:val="77FCEDF6"/>
    <w:rsid w:val="79D9FE15"/>
    <w:rsid w:val="7B1F094E"/>
    <w:rsid w:val="7FFCE392"/>
    <w:rsid w:val="D6FC3895"/>
    <w:rsid w:val="DFDFBABA"/>
    <w:rsid w:val="E77D659E"/>
    <w:rsid w:val="F9C505D2"/>
    <w:rsid w:val="FB6F4645"/>
    <w:rsid w:val="FEFE8831"/>
    <w:rsid w:val="FFB3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9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2024-04-14T18:58:00Z</dcterms:created>
  <dc:creator>宋黎</dc:creator>
  <cp:lastModifiedBy>宋黎</cp:lastModifiedBy>
  <dcterms:modified xsi:type="dcterms:W3CDTF">2024-04-29T10:57:26Z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E369399F7BAA033A7D8D1766E0EEDF2C</vt:lpwstr>
  </property>
</Properties>
</file>