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line="300" w:lineRule="auto"/>
        <w:jc w:val="center"/>
        <w:rPr>
          <w:rFonts w:hint="eastAsia" w:ascii="方正小标宋简体" w:hAnsi="方正小标宋简体" w:eastAsia="方正小标宋简体"/>
          <w:color w:val="FF0000"/>
          <w:spacing w:val="12"/>
          <w:w w:val="75"/>
          <w:sz w:val="60"/>
        </w:rPr>
      </w:pPr>
      <w:r>
        <w:rPr>
          <w:rFonts w:hint="eastAsia" w:ascii="方正小标宋简体" w:hAnsi="方正小标宋简体" w:eastAsia="方正小标宋简体"/>
          <w:color w:val="FF0000"/>
          <w:w w:val="75"/>
          <w:sz w:val="60"/>
        </w:rPr>
        <w:t>中国证券监督管理委员会广东监管局</w:t>
      </w:r>
    </w:p>
    <w:p>
      <w:pPr>
        <w:snapToGrid w:val="0"/>
        <w:spacing w:line="240" w:lineRule="auto"/>
        <w:ind w:right="-194"/>
        <w:jc w:val="center"/>
        <w:rPr>
          <w:rFonts w:hint="eastAsia" w:ascii="方正小标宋简体" w:hAnsi="方正小标宋简体" w:eastAsia="方正小标宋简体"/>
          <w:snapToGrid w:val="0"/>
          <w:color w:val="FF0000"/>
          <w:spacing w:val="136"/>
          <w:kern w:val="0"/>
          <w:sz w:val="80"/>
        </w:rPr>
      </w:pPr>
      <w:r>
        <w:rPr>
          <w:rFonts w:hint="eastAsia" w:ascii="方正小标宋简体" w:hAnsi="方正小标宋简体" w:eastAsia="方正小标宋简体"/>
          <w:snapToGrid w:val="0"/>
          <w:color w:val="FF0000"/>
          <w:spacing w:val="136"/>
          <w:kern w:val="0"/>
          <w:sz w:val="80"/>
        </w:rPr>
        <w:t>行政处罚决定书</w:t>
      </w:r>
    </w:p>
    <w:p>
      <w:pPr>
        <w:keepNext w:val="0"/>
        <w:keepLines w:val="0"/>
        <w:pageBreakBefore w:val="0"/>
        <w:widowControl w:val="0"/>
        <w:kinsoku/>
        <w:wordWrap/>
        <w:overflowPunct/>
        <w:topLinePunct w:val="0"/>
        <w:autoSpaceDE/>
        <w:autoSpaceDN/>
        <w:bidi w:val="0"/>
        <w:snapToGrid w:val="0"/>
        <w:spacing w:before="0" w:beforeLines="0" w:after="0" w:afterLines="0" w:line="240" w:lineRule="auto"/>
        <w:ind w:left="0" w:leftChars="0" w:right="0" w:rightChars="0"/>
        <w:jc w:val="center"/>
        <w:textAlignment w:val="auto"/>
        <w:outlineLvl w:val="9"/>
        <w:rPr>
          <w:rFonts w:hint="eastAsia" w:ascii="仿宋_GB2312" w:eastAsia="仿宋_GB2312"/>
          <w:spacing w:val="12"/>
          <w:sz w:val="32"/>
          <w:szCs w:val="32"/>
        </w:rPr>
      </w:pPr>
      <w:bookmarkStart w:id="0" w:name="quanwen"/>
    </w:p>
    <w:p>
      <w:pPr>
        <w:keepNext w:val="0"/>
        <w:keepLines w:val="0"/>
        <w:pageBreakBefore w:val="0"/>
        <w:widowControl w:val="0"/>
        <w:kinsoku/>
        <w:wordWrap/>
        <w:overflowPunct/>
        <w:topLinePunct w:val="0"/>
        <w:autoSpaceDE/>
        <w:autoSpaceDN/>
        <w:bidi w:val="0"/>
        <w:snapToGrid w:val="0"/>
        <w:spacing w:before="0" w:beforeLines="0" w:after="0" w:afterLines="0" w:line="324" w:lineRule="auto"/>
        <w:ind w:left="0" w:leftChars="0" w:right="0" w:rightChars="0"/>
        <w:jc w:val="center"/>
        <w:textAlignment w:val="auto"/>
        <w:outlineLvl w:val="9"/>
        <w:rPr>
          <w:rFonts w:hint="eastAsia" w:ascii="仿宋_GB2312" w:eastAsia="仿宋_GB2312"/>
          <w:spacing w:val="12"/>
          <w:sz w:val="28"/>
        </w:rPr>
      </w:pPr>
      <w:r>
        <w:rPr>
          <w:rFonts w:hint="eastAsia" w:ascii="仿宋_GB2312" w:eastAsia="仿宋_GB2312"/>
          <w:spacing w:val="12"/>
          <w:sz w:val="28"/>
        </w:rPr>
        <w:t>〔20</w:t>
      </w:r>
      <w:r>
        <w:rPr>
          <w:rFonts w:hint="eastAsia" w:ascii="仿宋_GB2312" w:eastAsia="仿宋_GB2312"/>
          <w:spacing w:val="12"/>
          <w:sz w:val="28"/>
          <w:lang w:val="en-US" w:eastAsia="zh-CN"/>
        </w:rPr>
        <w:t>2</w:t>
      </w:r>
      <w:r>
        <w:rPr>
          <w:rFonts w:hint="default" w:ascii="仿宋_GB2312" w:eastAsia="仿宋_GB2312"/>
          <w:spacing w:val="12"/>
          <w:sz w:val="28"/>
          <w:lang w:val="en-US" w:eastAsia="zh-CN"/>
        </w:rPr>
        <w:t>4</w:t>
      </w:r>
      <w:r>
        <w:rPr>
          <w:rFonts w:hint="eastAsia" w:ascii="仿宋_GB2312" w:eastAsia="仿宋_GB2312"/>
          <w:spacing w:val="12"/>
          <w:sz w:val="28"/>
        </w:rPr>
        <w:t>〕</w:t>
      </w:r>
      <w:r>
        <w:rPr>
          <w:rFonts w:hint="default" w:ascii="仿宋_GB2312" w:eastAsia="仿宋_GB2312"/>
          <w:spacing w:val="12"/>
          <w:sz w:val="28"/>
          <w:lang w:val="en-US"/>
        </w:rPr>
        <w:t>45</w:t>
      </w:r>
      <w:r>
        <w:rPr>
          <w:rFonts w:hint="eastAsia" w:ascii="仿宋_GB2312" w:eastAsia="仿宋_GB2312"/>
          <w:spacing w:val="12"/>
          <w:sz w:val="28"/>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472" w:firstLineChars="200"/>
        <w:textAlignment w:val="auto"/>
        <w:outlineLvl w:val="9"/>
        <w:rPr>
          <w:rFonts w:hint="eastAsia" w:ascii="仿宋_GB2312" w:eastAsia="仿宋_GB2312"/>
          <w:spacing w:val="8"/>
          <w:sz w:val="22"/>
          <w:szCs w:val="22"/>
        </w:rPr>
      </w:pPr>
    </w:p>
    <w:p>
      <w:pPr>
        <w:pStyle w:val="2"/>
        <w:rPr>
          <w:rFonts w:hint="eastAsi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24" w:lineRule="auto"/>
        <w:ind w:left="0" w:leftChars="0" w:right="0" w:rightChars="0" w:firstLine="64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仿宋_GB2312"/>
          <w:kern w:val="0"/>
          <w:sz w:val="32"/>
          <w:szCs w:val="32"/>
          <w:lang w:val="en-US" w:eastAsia="zh-CN" w:bidi="ar-SA"/>
        </w:rPr>
        <w:t>当事人：王某</w:t>
      </w:r>
      <w:r>
        <w:rPr>
          <w:rFonts w:hint="eastAsia" w:ascii="仿宋_GB2312" w:hAnsi="仿宋_GB2312" w:eastAsia="仿宋_GB2312" w:cs="Times New Roman"/>
          <w:sz w:val="32"/>
          <w:szCs w:val="32"/>
          <w:lang w:val="en-US" w:eastAsia="zh-CN"/>
        </w:rPr>
        <w:t>，男，1986年5月出生，住址：广东省深圳市龙华区。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24"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Times New Roman"/>
          <w:sz w:val="32"/>
          <w:szCs w:val="32"/>
          <w:lang w:val="en-US" w:eastAsia="zh-CN"/>
        </w:rPr>
        <w:t>依据2005年修订的《中华人民共和国证券法》（以下简称2005年《证券法》）、2019年修订的《中华人民共和国证券法》（以下简称《证券法》）的有关规定，我局对王某利用未公开信息交易及违规持有、买卖证券行为进行了立案调查，并依法向当事人告知了作出行政处罚的事实、理由、</w:t>
      </w:r>
      <w:r>
        <w:rPr>
          <w:rFonts w:hint="eastAsia" w:ascii="仿宋_GB2312" w:hAnsi="仿宋_GB2312" w:eastAsia="仿宋_GB2312" w:cs="仿宋_GB2312"/>
          <w:kern w:val="0"/>
          <w:sz w:val="32"/>
          <w:szCs w:val="32"/>
          <w:lang w:val="en-US" w:eastAsia="zh-CN" w:bidi="ar-SA"/>
        </w:rPr>
        <w:t>依据及当事人依法享有的权利。当事人未提出陈述、申辩意见，也未要求听证。本案现已调查、办理终结。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24"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经查明，王某存在以下违法事实：</w:t>
      </w:r>
    </w:p>
    <w:p>
      <w:pPr>
        <w:overflowPunct w:val="0"/>
        <w:snapToGrid w:val="0"/>
        <w:spacing w:beforeLines="0" w:afterLines="0" w:line="336" w:lineRule="auto"/>
        <w:ind w:firstLine="640"/>
        <w:rPr>
          <w:rFonts w:hint="eastAsia" w:ascii="仿宋_GB2312" w:hAnsi="仿宋_GB2312" w:eastAsia="仿宋_GB2312" w:cs="Times New Roman"/>
          <w:kern w:val="0"/>
          <w:sz w:val="32"/>
          <w:szCs w:val="32"/>
          <w:lang w:val="en-US" w:eastAsia="zh-CN"/>
        </w:rPr>
      </w:pPr>
      <w:r>
        <w:rPr>
          <w:rFonts w:hint="eastAsia" w:ascii="黑体" w:hAnsi="黑体" w:eastAsia="黑体" w:cs="黑体"/>
          <w:kern w:val="0"/>
          <w:sz w:val="32"/>
          <w:szCs w:val="32"/>
          <w:lang w:val="en" w:eastAsia="zh-CN"/>
        </w:rPr>
        <w:t>一、王某涉案期间为证券从业人员</w:t>
      </w:r>
    </w:p>
    <w:p>
      <w:pPr>
        <w:keepNext w:val="0"/>
        <w:keepLines w:val="0"/>
        <w:pageBreakBefore w:val="0"/>
        <w:widowControl w:val="0"/>
        <w:tabs>
          <w:tab w:val="left" w:pos="46"/>
        </w:tabs>
        <w:kinsoku/>
        <w:wordWrap/>
        <w:overflowPunct w:val="0"/>
        <w:topLinePunct w:val="0"/>
        <w:autoSpaceDE/>
        <w:autoSpaceDN/>
        <w:bidi w:val="0"/>
        <w:adjustRightInd/>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2008年6月至2016年7月，王某任职于中国中金财富证券有限公司，2016年8月</w:t>
      </w:r>
      <w:r>
        <w:rPr>
          <w:rFonts w:hint="eastAsia" w:ascii="仿宋_GB2312" w:hAnsi="仿宋_GB2312" w:eastAsia="仿宋_GB2312" w:cs="仿宋_GB2312"/>
          <w:kern w:val="0"/>
          <w:sz w:val="32"/>
          <w:szCs w:val="32"/>
        </w:rPr>
        <w:t>至</w:t>
      </w:r>
      <w:r>
        <w:rPr>
          <w:rFonts w:hint="eastAsia" w:ascii="仿宋_GB2312" w:hAnsi="仿宋_GB2312" w:eastAsia="仿宋_GB2312" w:cs="仿宋_GB2312"/>
          <w:kern w:val="0"/>
          <w:sz w:val="32"/>
          <w:szCs w:val="32"/>
          <w:lang w:eastAsia="zh-CN"/>
        </w:rPr>
        <w:t>立案</w:t>
      </w:r>
      <w:r>
        <w:rPr>
          <w:rFonts w:hint="eastAsia" w:ascii="仿宋_GB2312" w:hAnsi="仿宋_GB2312" w:eastAsia="仿宋_GB2312" w:cs="仿宋_GB2312"/>
          <w:kern w:val="0"/>
          <w:sz w:val="32"/>
          <w:szCs w:val="32"/>
        </w:rPr>
        <w:t>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bidi="ar-SA"/>
        </w:rPr>
        <w:t>王某任职于国投证券股份有限公司，系证券从业人员。</w:t>
      </w:r>
    </w:p>
    <w:p>
      <w:pPr>
        <w:overflowPunct w:val="0"/>
        <w:snapToGrid w:val="0"/>
        <w:spacing w:beforeLines="0" w:afterLines="0" w:line="336" w:lineRule="auto"/>
        <w:ind w:firstLine="640"/>
        <w:rPr>
          <w:rFonts w:hint="eastAsia"/>
          <w:kern w:val="0"/>
          <w:sz w:val="32"/>
          <w:szCs w:val="32"/>
          <w:lang w:val="en-US" w:eastAsia="zh-CN"/>
        </w:rPr>
      </w:pPr>
      <w:r>
        <w:rPr>
          <w:rFonts w:hint="eastAsia" w:ascii="黑体" w:hAnsi="黑体" w:eastAsia="黑体" w:cs="黑体"/>
          <w:kern w:val="0"/>
          <w:sz w:val="32"/>
          <w:szCs w:val="32"/>
          <w:lang w:val="en" w:eastAsia="zh-CN"/>
        </w:rPr>
        <w:t>二、王某利用未公开信息从事有关证券交易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right="0" w:rightChars="0" w:firstLine="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w:t>
      </w:r>
      <w:r>
        <w:rPr>
          <w:rFonts w:hint="default" w:ascii="仿宋_GB2312" w:hAnsi="仿宋_GB2312" w:eastAsia="仿宋_GB2312" w:cs="仿宋_GB2312"/>
          <w:kern w:val="0"/>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2022年11月14日至2024年2月26日期间，王某因职务便利获取“</w:t>
      </w:r>
      <w:r>
        <w:rPr>
          <w:rFonts w:hint="eastAsia" w:ascii="仿宋_GB2312" w:hAnsi="仿宋_GB2312" w:eastAsia="仿宋_GB2312" w:cs="仿宋_GB2312"/>
          <w:kern w:val="0"/>
          <w:sz w:val="32"/>
          <w:szCs w:val="32"/>
          <w:lang w:val="en-US" w:eastAsia="zh-CN"/>
        </w:rPr>
        <w:t>某证券投资基金（以下简称某基金）”账户</w:t>
      </w:r>
      <w:r>
        <w:rPr>
          <w:rFonts w:hint="eastAsia" w:ascii="仿宋_GB2312" w:hAnsi="仿宋_GB2312" w:eastAsia="仿宋_GB2312" w:cs="仿宋_GB2312"/>
          <w:kern w:val="0"/>
          <w:sz w:val="32"/>
          <w:szCs w:val="32"/>
          <w:lang w:val="en-US" w:eastAsia="zh-CN" w:bidi="ar-SA"/>
        </w:rPr>
        <w:t>交易股票名称、交易时点、交易价格、交易数量等未公开信息。其违反规定，控制使用“熊某”万联证券账户，利用相关未公开信息从事有关证券交易，同期或稍晚于某基金账户趋同</w:t>
      </w:r>
      <w:bookmarkStart w:id="1" w:name="_GoBack"/>
      <w:bookmarkEnd w:id="1"/>
      <w:r>
        <w:rPr>
          <w:rFonts w:hint="eastAsia" w:ascii="仿宋_GB2312" w:hAnsi="仿宋_GB2312" w:eastAsia="仿宋_GB2312" w:cs="仿宋_GB2312"/>
          <w:kern w:val="0"/>
          <w:sz w:val="32"/>
          <w:szCs w:val="32"/>
          <w:lang w:val="en-US" w:eastAsia="zh-CN" w:bidi="ar-SA"/>
        </w:rPr>
        <w:t>交易股票54只，趋同交易金额</w:t>
      </w:r>
      <w:r>
        <w:rPr>
          <w:rFonts w:hint="eastAsia" w:ascii="仿宋_GB2312" w:hAnsi="仿宋_GB2312" w:eastAsia="仿宋_GB2312" w:cs="仿宋_GB2312"/>
          <w:kern w:val="0"/>
          <w:sz w:val="32"/>
          <w:szCs w:val="32"/>
          <w:lang w:val="en-US" w:eastAsia="zh-CN"/>
        </w:rPr>
        <w:t>28,</w:t>
      </w:r>
      <w:r>
        <w:rPr>
          <w:rFonts w:hint="default" w:ascii="仿宋_GB2312" w:hAnsi="仿宋_GB2312" w:eastAsia="仿宋_GB2312" w:cs="仿宋_GB2312"/>
          <w:kern w:val="0"/>
          <w:sz w:val="32"/>
          <w:szCs w:val="32"/>
          <w:lang w:val="en-US" w:eastAsia="zh-CN"/>
        </w:rPr>
        <w:t>734</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186</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b w:val="0"/>
          <w:bCs w:val="0"/>
          <w:snapToGrid/>
          <w:color w:val="auto"/>
          <w:kern w:val="0"/>
          <w:sz w:val="32"/>
          <w:szCs w:val="32"/>
          <w:highlight w:val="none"/>
          <w:lang w:val="en" w:eastAsia="zh-CN" w:bidi="ar-SA"/>
        </w:rPr>
        <w:t>元</w:t>
      </w:r>
      <w:r>
        <w:rPr>
          <w:rFonts w:hint="eastAsia" w:ascii="仿宋_GB2312" w:hAnsi="仿宋_GB2312" w:eastAsia="仿宋_GB2312" w:cs="仿宋_GB2312"/>
          <w:kern w:val="0"/>
          <w:sz w:val="32"/>
          <w:szCs w:val="32"/>
          <w:lang w:val="en-US" w:eastAsia="zh-CN" w:bidi="ar-SA"/>
        </w:rPr>
        <w:t>，趋同交易盈利225,791.72元。</w:t>
      </w:r>
    </w:p>
    <w:p>
      <w:pPr>
        <w:overflowPunct w:val="0"/>
        <w:snapToGrid w:val="0"/>
        <w:spacing w:beforeLines="0" w:afterLines="0" w:line="336" w:lineRule="auto"/>
        <w:ind w:firstLine="640"/>
        <w:rPr>
          <w:rFonts w:hint="eastAsia" w:ascii="黑体" w:hAnsi="黑体" w:eastAsia="黑体" w:cs="黑体"/>
          <w:kern w:val="0"/>
          <w:sz w:val="32"/>
          <w:szCs w:val="32"/>
          <w:highlight w:val="yellow"/>
          <w:lang w:val="en" w:eastAsia="zh-CN"/>
        </w:rPr>
      </w:pPr>
      <w:r>
        <w:rPr>
          <w:rFonts w:hint="eastAsia" w:ascii="黑体" w:hAnsi="黑体" w:eastAsia="黑体" w:cs="黑体"/>
          <w:kern w:val="0"/>
          <w:sz w:val="32"/>
          <w:szCs w:val="32"/>
          <w:lang w:val="en" w:eastAsia="zh-CN"/>
        </w:rPr>
        <w:t>三、王某违规</w:t>
      </w:r>
      <w:r>
        <w:rPr>
          <w:rFonts w:hint="eastAsia" w:ascii="黑体" w:hAnsi="黑体" w:eastAsia="黑体" w:cs="黑体"/>
          <w:kern w:val="0"/>
          <w:sz w:val="32"/>
          <w:szCs w:val="32"/>
          <w:highlight w:val="none"/>
          <w:lang w:val="en" w:eastAsia="zh-CN"/>
        </w:rPr>
        <w:t>持有、买卖证券</w:t>
      </w:r>
    </w:p>
    <w:p>
      <w:pPr>
        <w:keepNext w:val="0"/>
        <w:keepLines w:val="0"/>
        <w:pageBreakBefore w:val="0"/>
        <w:widowControl w:val="0"/>
        <w:kinsoku/>
        <w:wordWrap/>
        <w:overflowPunct w:val="0"/>
        <w:topLinePunct w:val="0"/>
        <w:autoSpaceDE/>
        <w:autoSpaceDN/>
        <w:bidi w:val="0"/>
        <w:snapToGrid w:val="0"/>
        <w:spacing w:beforeLines="0" w:afterLines="0" w:line="336" w:lineRule="auto"/>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2013年9月25日至2024年2月27日期间，扣除前述王某利用未公开信息趋同交易和趋同交易对应的反向交易金额后，王某作为证券从业人员，控制使用“熊某”中金财富证券账户、“熊某”万联证券账户持有、买卖证券，累计买入金额155,</w:t>
      </w:r>
      <w:r>
        <w:rPr>
          <w:rFonts w:hint="default" w:ascii="仿宋_GB2312" w:hAnsi="仿宋_GB2312" w:eastAsia="仿宋_GB2312" w:cs="仿宋_GB2312"/>
          <w:kern w:val="0"/>
          <w:sz w:val="32"/>
          <w:szCs w:val="32"/>
          <w:lang w:val="en-US" w:eastAsia="zh-CN"/>
        </w:rPr>
        <w:t>415</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343</w:t>
      </w:r>
      <w:r>
        <w:rPr>
          <w:rFonts w:hint="eastAsia" w:ascii="仿宋_GB2312" w:hAnsi="仿宋_GB2312" w:eastAsia="仿宋_GB2312" w:cs="仿宋_GB2312"/>
          <w:kern w:val="0"/>
          <w:sz w:val="32"/>
          <w:szCs w:val="32"/>
          <w:lang w:val="en-US" w:eastAsia="zh-CN"/>
        </w:rPr>
        <w:t>.9</w:t>
      </w:r>
      <w:r>
        <w:rPr>
          <w:rFonts w:hint="default"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val="en-US" w:eastAsia="zh-CN"/>
        </w:rPr>
        <w:t>元，卖出金额156,</w:t>
      </w:r>
      <w:r>
        <w:rPr>
          <w:rFonts w:hint="default"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en-US" w:eastAsia="zh-CN"/>
        </w:rPr>
        <w:t>67,</w:t>
      </w:r>
      <w:r>
        <w:rPr>
          <w:rFonts w:hint="default" w:ascii="仿宋_GB2312" w:hAnsi="仿宋_GB2312" w:eastAsia="仿宋_GB2312" w:cs="仿宋_GB2312"/>
          <w:kern w:val="0"/>
          <w:sz w:val="32"/>
          <w:szCs w:val="32"/>
          <w:lang w:val="en-US" w:eastAsia="zh-CN"/>
        </w:rPr>
        <w:t>398</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60</w:t>
      </w:r>
      <w:r>
        <w:rPr>
          <w:rFonts w:hint="eastAsia" w:ascii="仿宋_GB2312" w:hAnsi="仿宋_GB2312" w:eastAsia="仿宋_GB2312" w:cs="仿宋_GB2312"/>
          <w:kern w:val="0"/>
          <w:sz w:val="32"/>
          <w:szCs w:val="32"/>
          <w:lang w:val="en-US" w:eastAsia="zh-CN"/>
        </w:rPr>
        <w:t>元，盈利</w:t>
      </w:r>
      <w:r>
        <w:rPr>
          <w:rFonts w:hint="default" w:ascii="仿宋_GB2312" w:hAnsi="仿宋_GB2312" w:eastAsia="仿宋_GB2312" w:cs="仿宋_GB2312"/>
          <w:kern w:val="0"/>
          <w:sz w:val="32"/>
          <w:szCs w:val="32"/>
          <w:lang w:val="en-US" w:eastAsia="zh-CN"/>
        </w:rPr>
        <w:t>188</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412</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CN"/>
        </w:rPr>
        <w:t>0元。</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24"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上述违法事实，有相关劳动合同、证券账户资料、银行账户资料、相关情况说明、相关人员询问笔录等证据证明，足以认定。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24" w:lineRule="auto"/>
        <w:ind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王某利用未公开信息从事有关证券交易，违反《证券法》第五十四条第一款的规定，构成《证券法》第一百九十一条第二款所述违法情形。王某违规持有、买卖证券，违反2005年《证券法》第四十三条第一款、《证券法》第四十条第一款的规定，构成2005年《证券法》第一百九十九条、《证券法》第一百八十七条所述违法情形。</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24"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综合考虑本案违法行为持续时间、当事人积极配合调查及提供材料等情况，根据当事人违法行为的事实、性质、情节及社会危害程度，依据《证券法》第一百九十一条第二款和第一百八十七条的规定，我局决定：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24"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一、对王某利用未公开信息从事有关证券交易行为，没收违法所得225,791.72元，并处以80万元的罚款；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24"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二、对王某违规持有、买卖证券行为，没收违法所得188,412.30元，并处以18万元的罚款。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24"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综上，对王某合计没收违法所得414,204.02元，并合计处以98万元的罚款。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24" w:lineRule="auto"/>
        <w:ind w:right="0" w:rightChars="0" w:firstLine="640" w:firstLineChars="200"/>
        <w:jc w:val="both"/>
        <w:textAlignment w:val="auto"/>
        <w:outlineLvl w:val="9"/>
        <w:rPr>
          <w:rFonts w:ascii="宋体" w:hAnsi="宋体" w:cs="宋体"/>
          <w:color w:val="000000"/>
          <w:sz w:val="28"/>
          <w:szCs w:val="28"/>
        </w:rPr>
      </w:pPr>
      <w:r>
        <w:rPr>
          <w:rFonts w:hint="eastAsia" w:ascii="仿宋_GB2312" w:hAnsi="仿宋_GB2312" w:eastAsia="仿宋_GB2312" w:cs="仿宋_GB2312"/>
          <w:kern w:val="0"/>
          <w:sz w:val="32"/>
          <w:szCs w:val="32"/>
          <w:lang w:val="en-US" w:eastAsia="zh-CN" w:bidi="ar-SA"/>
        </w:rPr>
        <w:t>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topLinePunct w:val="0"/>
        <w:autoSpaceDE/>
        <w:autoSpaceDN/>
        <w:bidi w:val="0"/>
        <w:adjustRightInd w:val="0"/>
        <w:snapToGrid w:val="0"/>
        <w:spacing w:line="324" w:lineRule="auto"/>
        <w:jc w:val="left"/>
        <w:textAlignment w:val="auto"/>
        <w:rPr>
          <w:rFonts w:hint="default" w:ascii="宋体" w:hAnsi="宋体" w:cs="宋体"/>
          <w:color w:val="000000"/>
          <w:sz w:val="28"/>
          <w:szCs w:val="28"/>
          <w:lang w:val="en-US"/>
        </w:rPr>
      </w:pPr>
    </w:p>
    <w:p>
      <w:pPr>
        <w:pStyle w:val="2"/>
        <w:rPr>
          <w:rFonts w:hint="default" w:ascii="宋体" w:hAnsi="宋体" w:cs="宋体"/>
          <w:color w:val="000000"/>
          <w:sz w:val="28"/>
          <w:szCs w:val="28"/>
          <w:lang w:val="en-US"/>
        </w:rPr>
      </w:pPr>
    </w:p>
    <w:p>
      <w:pPr>
        <w:rPr>
          <w:rFonts w:hint="default"/>
          <w:lang w:val="en-US"/>
        </w:rPr>
      </w:pPr>
    </w:p>
    <w:p>
      <w:pPr>
        <w:adjustRightInd w:val="0"/>
        <w:snapToGrid w:val="0"/>
        <w:spacing w:line="324"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widowControl/>
        <w:numPr>
          <w:ilvl w:val="0"/>
          <w:numId w:val="0"/>
        </w:numPr>
        <w:pBdr>
          <w:top w:val="none" w:color="auto" w:sz="0" w:space="0"/>
          <w:bottom w:val="none" w:color="auto" w:sz="0" w:space="0"/>
        </w:pBdr>
        <w:adjustRightInd w:val="0"/>
        <w:snapToGrid w:val="0"/>
        <w:spacing w:beforeLines="0" w:afterLines="0" w:line="324" w:lineRule="auto"/>
        <w:ind w:right="0" w:firstLine="0"/>
        <w:jc w:val="center"/>
        <w:outlineLvl w:val="9"/>
        <w:rPr>
          <w:rFonts w:hint="eastAsia"/>
        </w:rPr>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024</w:t>
      </w:r>
      <w:r>
        <w:rPr>
          <w:rFonts w:hint="eastAsia" w:ascii="仿宋_GB2312" w:hAnsi="Times New Roman" w:eastAsia="仿宋_GB2312" w:cs="Times New Roman"/>
          <w:color w:val="000000"/>
          <w:spacing w:val="10"/>
          <w:sz w:val="32"/>
          <w:szCs w:val="32"/>
        </w:rPr>
        <w:t>年</w:t>
      </w:r>
      <w:r>
        <w:rPr>
          <w:rFonts w:hint="default" w:ascii="仿宋_GB2312" w:hAnsi="Times New Roman" w:eastAsia="仿宋_GB2312" w:cs="Times New Roman"/>
          <w:color w:val="000000"/>
          <w:spacing w:val="10"/>
          <w:sz w:val="32"/>
          <w:szCs w:val="32"/>
          <w:lang w:val="en-US"/>
        </w:rPr>
        <w:t>11</w:t>
      </w:r>
      <w:r>
        <w:rPr>
          <w:rFonts w:hint="eastAsia" w:ascii="仿宋_GB2312" w:hAnsi="Times New Roman" w:eastAsia="仿宋_GB2312" w:cs="Times New Roman"/>
          <w:color w:val="000000"/>
          <w:spacing w:val="10"/>
          <w:sz w:val="32"/>
          <w:szCs w:val="32"/>
        </w:rPr>
        <w:t>月</w:t>
      </w:r>
      <w:r>
        <w:rPr>
          <w:rFonts w:hint="default" w:ascii="仿宋_GB2312" w:hAnsi="Times New Roman" w:eastAsia="仿宋_GB2312" w:cs="Times New Roman"/>
          <w:color w:val="000000"/>
          <w:spacing w:val="10"/>
          <w:sz w:val="32"/>
          <w:szCs w:val="32"/>
          <w:lang w:val="en-US"/>
        </w:rPr>
        <w:t>29</w:t>
      </w:r>
      <w:r>
        <w:rPr>
          <w:rFonts w:hint="eastAsia" w:ascii="仿宋_GB2312" w:hAnsi="Times New Roman" w:eastAsia="仿宋_GB2312" w:cs="Times New Roman"/>
          <w:color w:val="000000"/>
          <w:spacing w:val="10"/>
          <w:sz w:val="32"/>
          <w:szCs w:val="32"/>
        </w:rPr>
        <w:t>日</w:t>
      </w:r>
      <w:bookmarkEnd w:id="0"/>
    </w:p>
    <w:sectPr>
      <w:footerReference r:id="rId3" w:type="default"/>
      <w:pgSz w:w="11906" w:h="16838"/>
      <w:pgMar w:top="2097"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revisionView w:markup="0"/>
  <w:trackRevisions w:val="true"/>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D8DDD"/>
    <w:rsid w:val="14ED4176"/>
    <w:rsid w:val="37EF4E1D"/>
    <w:rsid w:val="3EDD8DDD"/>
    <w:rsid w:val="6EFE3D92"/>
    <w:rsid w:val="71F7C6BB"/>
    <w:rsid w:val="77DB71A3"/>
    <w:rsid w:val="7A7EB3BF"/>
    <w:rsid w:val="7D750BA8"/>
    <w:rsid w:val="A9D72144"/>
    <w:rsid w:val="B55F9CC5"/>
    <w:rsid w:val="BF7FFB3B"/>
    <w:rsid w:val="D6FEAA55"/>
    <w:rsid w:val="F19EE664"/>
    <w:rsid w:val="FB76092B"/>
    <w:rsid w:val="FFF1D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next w:val="1"/>
    <w:qFormat/>
    <w:uiPriority w:val="0"/>
    <w:pPr>
      <w:widowControl w:val="0"/>
      <w:spacing w:line="240" w:lineRule="auto"/>
      <w:ind w:firstLine="420"/>
      <w:jc w:val="both"/>
      <w:textAlignment w:val="baseline"/>
    </w:pPr>
    <w:rPr>
      <w:rFonts w:ascii="宋体" w:hAnsi="Calibri" w:eastAsia="宋体" w:cs="Times New Roman"/>
      <w:kern w:val="0"/>
      <w:sz w:val="21"/>
      <w:szCs w:val="24"/>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2024-11-25T07:18:00Z</dcterms:created>
  <dc:creator>赖雄</dc:creator>
  <cp:lastModifiedBy>胡芬：处室负责人审核</cp:lastModifiedBy>
  <dcterms:modified xsi:type="dcterms:W3CDTF">2024-12-05T20:31:04Z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FB77D202E223E2B989B64E67591F05DA</vt:lpwstr>
  </property>
</Properties>
</file>