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pStyle w:val="2"/>
        <w:rPr>
          <w:rFonts w:hint="eastAsia"/>
        </w:rPr>
      </w:pPr>
      <w:bookmarkStart w:id="0" w:name="quanwen"/>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jc w:val="center"/>
        <w:textAlignment w:val="auto"/>
        <w:outlineLvl w:val="9"/>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4</w:t>
      </w:r>
      <w:r>
        <w:rPr>
          <w:rFonts w:hint="eastAsia" w:ascii="仿宋_GB2312" w:eastAsia="仿宋_GB2312"/>
          <w:spacing w:val="12"/>
          <w:sz w:val="28"/>
        </w:rPr>
        <w:t>〕</w:t>
      </w:r>
      <w:r>
        <w:rPr>
          <w:rFonts w:hint="default" w:ascii="仿宋_GB2312" w:eastAsia="仿宋_GB2312"/>
          <w:spacing w:val="12"/>
          <w:sz w:val="28"/>
          <w:lang w:val="en-US"/>
        </w:rPr>
        <w:t>43</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324" w:lineRule="auto"/>
        <w:ind w:left="0" w:lef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当事人：谢某旺，男，199X年2月出生，住址：广东省广州市海珠区。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24"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Times New Roman"/>
          <w:sz w:val="32"/>
          <w:szCs w:val="32"/>
          <w:lang w:val="en-US" w:eastAsia="zh-CN"/>
        </w:rPr>
        <w:t>依据《中华人民共和国证券法》（以下简称《证券法》）的有关规定，我局对谢某旺作为证券从业人员违规买卖证券行为进行了立案调查，并依法向当事人告知了作出行政处罚的事实、理由、</w:t>
      </w:r>
      <w:r>
        <w:rPr>
          <w:rFonts w:hint="eastAsia" w:ascii="仿宋_GB2312" w:hAnsi="仿宋_GB2312" w:eastAsia="仿宋_GB2312" w:cs="仿宋_GB2312"/>
          <w:kern w:val="0"/>
          <w:sz w:val="32"/>
          <w:szCs w:val="32"/>
          <w:lang w:val="en-US" w:eastAsia="zh-CN" w:bidi="ar-SA"/>
        </w:rPr>
        <w:t>依据及当事人依法享有的权利。当事人未提出陈述、申辩意见，也未要求听证。本案现已调查、办理终结。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24"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经查明，谢某旺存在以下违法事实：</w:t>
      </w:r>
    </w:p>
    <w:p>
      <w:pPr>
        <w:keepNext w:val="0"/>
        <w:keepLines w:val="0"/>
        <w:pageBreakBefore w:val="0"/>
        <w:widowControl w:val="0"/>
        <w:kinsoku/>
        <w:wordWrap/>
        <w:overflowPunct w:val="0"/>
        <w:topLinePunct w:val="0"/>
        <w:autoSpaceDE/>
        <w:autoSpaceDN/>
        <w:bidi w:val="0"/>
        <w:adjustRightInd w:val="0"/>
        <w:snapToGrid w:val="0"/>
        <w:spacing w:line="324" w:lineRule="auto"/>
        <w:ind w:left="0" w:lef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2015年8月21日</w:t>
      </w:r>
      <w:r>
        <w:rPr>
          <w:rFonts w:hint="eastAsia" w:ascii="仿宋_GB2312" w:hAnsi="仿宋_GB2312" w:eastAsia="仿宋_GB2312" w:cs="仿宋_GB2312"/>
          <w:b w:val="0"/>
          <w:bCs w:val="0"/>
          <w:sz w:val="32"/>
          <w:szCs w:val="32"/>
          <w:highlight w:val="none"/>
          <w:lang w:val="en-US" w:eastAsia="zh-CN"/>
        </w:rPr>
        <w:t>至调查时</w:t>
      </w:r>
      <w:r>
        <w:rPr>
          <w:rFonts w:hint="eastAsia" w:ascii="仿宋_GB2312" w:hAnsi="仿宋_GB2312" w:eastAsia="仿宋_GB2312" w:cs="仿宋_GB2312"/>
          <w:b w:val="0"/>
          <w:bCs w:val="0"/>
          <w:sz w:val="32"/>
          <w:szCs w:val="32"/>
          <w:lang w:val="en-US" w:eastAsia="zh-CN"/>
        </w:rPr>
        <w:t>，谢某旺在银河证券股份有限公司番禺万博一路证券营业部</w:t>
      </w:r>
      <w:r>
        <w:rPr>
          <w:rFonts w:hint="eastAsia" w:ascii="仿宋_GB2312" w:hAnsi="仿宋_GB2312" w:eastAsia="仿宋_GB2312" w:cs="仿宋_GB2312"/>
          <w:b w:val="0"/>
          <w:bCs w:val="0"/>
          <w:sz w:val="32"/>
          <w:szCs w:val="32"/>
          <w:highlight w:val="none"/>
          <w:lang w:val="en-US" w:eastAsia="zh-CN"/>
        </w:rPr>
        <w:t>工作</w:t>
      </w:r>
      <w:r>
        <w:rPr>
          <w:rFonts w:hint="eastAsia" w:ascii="仿宋_GB2312" w:hAnsi="仿宋_GB2312" w:eastAsia="仿宋_GB2312" w:cs="仿宋_GB2312"/>
          <w:b w:val="0"/>
          <w:bCs w:val="0"/>
          <w:sz w:val="32"/>
          <w:szCs w:val="32"/>
          <w:lang w:val="en-US" w:eastAsia="zh-CN"/>
        </w:rPr>
        <w:t>，系证券从业人员。</w:t>
      </w:r>
    </w:p>
    <w:p>
      <w:pPr>
        <w:keepNext w:val="0"/>
        <w:keepLines w:val="0"/>
        <w:pageBreakBefore w:val="0"/>
        <w:widowControl w:val="0"/>
        <w:kinsoku/>
        <w:wordWrap/>
        <w:overflowPunct w:val="0"/>
        <w:topLinePunct w:val="0"/>
        <w:autoSpaceDE/>
        <w:autoSpaceDN/>
        <w:bidi w:val="0"/>
        <w:adjustRightInd w:val="0"/>
        <w:snapToGrid w:val="0"/>
        <w:spacing w:line="324" w:lineRule="auto"/>
        <w:ind w:left="0" w:lef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谢某旺控制、决策、使用“梁某丽”银河证券账户</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2018年8</w:t>
      </w:r>
      <w:r>
        <w:rPr>
          <w:rFonts w:hint="eastAsia" w:ascii="仿宋_GB2312" w:hAnsi="仿宋_GB2312" w:eastAsia="仿宋_GB2312" w:cs="仿宋_GB2312"/>
          <w:b w:val="0"/>
          <w:bCs w:val="0"/>
          <w:sz w:val="32"/>
          <w:szCs w:val="32"/>
          <w:highlight w:val="none"/>
          <w:lang w:val="en-US" w:eastAsia="zh-CN"/>
        </w:rPr>
        <w:t>月7日至2024年3月5日期间买卖股票，2020年7月2日至2021年9月16日期间买卖可转债，累计买入金额18,861,812.80元，卖出金额18,691,715.43元，亏损196,661.72元。</w:t>
      </w:r>
    </w:p>
    <w:p>
      <w:pPr>
        <w:keepNext w:val="0"/>
        <w:keepLines w:val="0"/>
        <w:pageBreakBefore w:val="0"/>
        <w:widowControl w:val="0"/>
        <w:kinsoku/>
        <w:wordWrap/>
        <w:overflowPunct w:val="0"/>
        <w:topLinePunct w:val="0"/>
        <w:autoSpaceDE/>
        <w:autoSpaceDN/>
        <w:bidi w:val="0"/>
        <w:adjustRightInd w:val="0"/>
        <w:snapToGrid w:val="0"/>
        <w:spacing w:line="324" w:lineRule="auto"/>
        <w:ind w:left="0" w:lef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上述违法事实，有证券账户资料、银行账户资料、相关人员询问笔录、情况说明等证据证明</w:t>
      </w:r>
      <w:r>
        <w:rPr>
          <w:rFonts w:hint="eastAsia" w:ascii="仿宋_GB2312" w:hAnsi="仿宋_GB2312" w:eastAsia="仿宋_GB2312" w:cs="仿宋_GB2312"/>
          <w:b w:val="0"/>
          <w:bCs w:val="0"/>
          <w:sz w:val="32"/>
          <w:szCs w:val="32"/>
          <w:highlight w:val="none"/>
          <w:lang w:val="en-US" w:eastAsia="zh-CN"/>
        </w:rPr>
        <w:t>，足以认定。</w:t>
      </w:r>
    </w:p>
    <w:p>
      <w:pPr>
        <w:keepNext w:val="0"/>
        <w:keepLines w:val="0"/>
        <w:pageBreakBefore w:val="0"/>
        <w:widowControl w:val="0"/>
        <w:kinsoku/>
        <w:wordWrap/>
        <w:overflowPunct w:val="0"/>
        <w:topLinePunct w:val="0"/>
        <w:autoSpaceDE/>
        <w:autoSpaceDN/>
        <w:bidi w:val="0"/>
        <w:adjustRightInd w:val="0"/>
        <w:snapToGrid w:val="0"/>
        <w:spacing w:line="324" w:lineRule="auto"/>
        <w:ind w:left="0" w:lef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认为，谢某旺的上述行为，违反2005年修订的《中华人民共和国证券法》（以下简称2005年《证券法》）第四十三条第一款、2019年修订的《中华人民共和国证券法》（以下简称《证券法》）第四十条第一款的规定，构成2005年《证券法》第一百九十九条、《证券法》第一百八十七条所述违法行为。</w:t>
      </w:r>
    </w:p>
    <w:p>
      <w:pPr>
        <w:keepNext w:val="0"/>
        <w:keepLines w:val="0"/>
        <w:pageBreakBefore w:val="0"/>
        <w:widowControl w:val="0"/>
        <w:kinsoku/>
        <w:wordWrap/>
        <w:overflowPunct w:val="0"/>
        <w:topLinePunct w:val="0"/>
        <w:autoSpaceDE/>
        <w:autoSpaceDN/>
        <w:bidi w:val="0"/>
        <w:adjustRightInd w:val="0"/>
        <w:snapToGrid w:val="0"/>
        <w:spacing w:line="324" w:lineRule="auto"/>
        <w:ind w:left="0" w:lef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根据当事人违法行为的事实、性质、情节及社会危害程度，并结合违法行为跨越新旧《证券法》适用的特别情形，依据《证券法》第一百八十七条的规定，我局决定：</w:t>
      </w:r>
    </w:p>
    <w:p>
      <w:pPr>
        <w:keepNext w:val="0"/>
        <w:keepLines w:val="0"/>
        <w:pageBreakBefore w:val="0"/>
        <w:widowControl w:val="0"/>
        <w:kinsoku/>
        <w:wordWrap/>
        <w:overflowPunct w:val="0"/>
        <w:topLinePunct w:val="0"/>
        <w:autoSpaceDE/>
        <w:autoSpaceDN/>
        <w:bidi w:val="0"/>
        <w:adjustRightInd w:val="0"/>
        <w:snapToGrid w:val="0"/>
        <w:spacing w:line="324" w:lineRule="auto"/>
        <w:ind w:left="0" w:lef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责令谢某旺依法处理非法持有的股票和可转债，并处以5万元罚款。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24" w:lineRule="auto"/>
        <w:ind w:right="0" w:rightChars="0" w:firstLine="640" w:firstLineChars="200"/>
        <w:jc w:val="both"/>
        <w:textAlignment w:val="auto"/>
        <w:outlineLvl w:val="9"/>
        <w:rPr>
          <w:rFonts w:ascii="宋体" w:hAnsi="宋体" w:cs="宋体"/>
          <w:color w:val="000000"/>
          <w:sz w:val="21"/>
          <w:szCs w:val="21"/>
        </w:rPr>
      </w:pPr>
      <w:r>
        <w:rPr>
          <w:rFonts w:hint="eastAsia" w:ascii="仿宋_GB2312" w:hAnsi="仿宋_GB2312" w:eastAsia="仿宋_GB2312" w:cs="仿宋_GB2312"/>
          <w:kern w:val="0"/>
          <w:sz w:val="32"/>
          <w:szCs w:val="32"/>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24" w:lineRule="auto"/>
        <w:rPr>
          <w:rFonts w:ascii="宋体" w:hAnsi="宋体" w:cs="宋体"/>
          <w:color w:val="000000"/>
          <w:sz w:val="21"/>
          <w:szCs w:val="21"/>
        </w:rPr>
      </w:pPr>
    </w:p>
    <w:p>
      <w:pPr>
        <w:keepNext w:val="0"/>
        <w:keepLines w:val="0"/>
        <w:pageBreakBefore w:val="0"/>
        <w:widowControl w:val="0"/>
        <w:kinsoku/>
        <w:wordWrap/>
        <w:overflowPunct w:val="0"/>
        <w:topLinePunct w:val="0"/>
        <w:autoSpaceDE/>
        <w:autoSpaceDN/>
        <w:bidi w:val="0"/>
        <w:adjustRightInd w:val="0"/>
        <w:snapToGrid w:val="0"/>
        <w:spacing w:line="324"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both"/>
        <w:outlineLvl w:val="9"/>
        <w:rPr>
          <w:rFonts w:hint="eastAsia" w:ascii="黑体" w:eastAsia="黑体"/>
          <w:spacing w:val="8"/>
          <w:sz w:val="21"/>
          <w:szCs w:val="21"/>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eastAsia" w:ascii="仿宋_GB2312" w:eastAsia="仿宋_GB2312" w:cs="Times New Roman"/>
          <w:color w:val="000000"/>
          <w:spacing w:val="10"/>
          <w:sz w:val="32"/>
          <w:szCs w:val="32"/>
          <w:lang w:val="en-US" w:eastAsia="zh-CN"/>
        </w:rPr>
        <w:t>11</w:t>
      </w:r>
      <w:r>
        <w:rPr>
          <w:rFonts w:hint="eastAsia" w:ascii="仿宋_GB2312" w:hAnsi="Times New Roman" w:eastAsia="仿宋_GB2312" w:cs="Times New Roman"/>
          <w:color w:val="000000"/>
          <w:spacing w:val="10"/>
          <w:sz w:val="32"/>
          <w:szCs w:val="32"/>
        </w:rPr>
        <w:t>月</w:t>
      </w:r>
      <w:r>
        <w:rPr>
          <w:rFonts w:hint="default" w:ascii="仿宋_GB2312" w:eastAsia="仿宋_GB2312" w:cs="Times New Roman"/>
          <w:color w:val="000000"/>
          <w:spacing w:val="10"/>
          <w:sz w:val="32"/>
          <w:szCs w:val="32"/>
          <w:lang w:val="en-US" w:eastAsia="zh-CN"/>
        </w:rPr>
        <w:t>28</w:t>
      </w:r>
      <w:r>
        <w:rPr>
          <w:rFonts w:hint="eastAsia" w:ascii="仿宋_GB2312" w:hAnsi="Times New Roman" w:eastAsia="仿宋_GB2312" w:cs="Times New Roman"/>
          <w:color w:val="000000"/>
          <w:spacing w:val="10"/>
          <w:sz w:val="32"/>
          <w:szCs w:val="32"/>
        </w:rPr>
        <w:t>日</w:t>
      </w:r>
      <w:bookmarkEnd w:id="0"/>
      <w:bookmarkStart w:id="1" w:name="_GoBack"/>
      <w:bookmarkEnd w:id="1"/>
    </w:p>
    <w:sectPr>
      <w:headerReference r:id="rId3" w:type="default"/>
      <w:footerReference r:id="rId4" w:type="default"/>
      <w:pgSz w:w="11906" w:h="16838"/>
      <w:pgMar w:top="2097" w:right="1474" w:bottom="1984" w:left="1587" w:header="851" w:footer="158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471805" cy="246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1805" cy="24638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9.4pt;width:37.15pt;mso-position-horizontal-relative:margin;z-index:251659264;mso-width-relative:page;mso-height-relative:page;" filled="f" stroked="f" coordsize="21600,21600" o:gfxdata="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EcWgvHUAAAAAwEAAA8A&#10;AAAAAAAAAQAgAAAAOAAAAGRycy9kb3ducmV2LnhtbFBLAQIUABQAAAAIAIdO4kBQppjaPgIAAG8E&#10;AAAOAAAAAAAAAAEAIAAAADkBAABkcnMvZTJvRG9jLnhtbFBLBQYAAAAABgAGAFkBAADpBQ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DA9E3"/>
    <w:rsid w:val="5BFE956C"/>
    <w:rsid w:val="5FF7669F"/>
    <w:rsid w:val="6B4F2793"/>
    <w:rsid w:val="6F2FE946"/>
    <w:rsid w:val="7FAD9437"/>
    <w:rsid w:val="7FFDD0CA"/>
    <w:rsid w:val="8FE5B0CA"/>
    <w:rsid w:val="BCFB7363"/>
    <w:rsid w:val="BEFDA9E3"/>
    <w:rsid w:val="E3277718"/>
    <w:rsid w:val="ECFB1B64"/>
    <w:rsid w:val="FEAB9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2024-11-23T14:37:00Z</dcterms:created>
  <dc:creator>覃怡丹</dc:creator>
  <cp:lastModifiedBy>paper cup</cp:lastModifiedBy>
  <dcterms:modified xsi:type="dcterms:W3CDTF">2024-12-04T15:25:22Z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BEF6283CA274AC32E20350677FDF9358_43</vt:lpwstr>
  </property>
</Properties>
</file>